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800"/>
      </w:pPr>
      <w:r>
        <w:t>AI 基础设施产业研究</w:t>
      </w:r>
    </w:p>
    <w:p>
      <w:pPr>
        <w:pStyle w:val="Subtitle"/>
      </w:pPr>
      <w:r>
        <w:t>CASPA CEO Summit 参会手册</w:t>
      </w:r>
    </w:p>
    <w:p>
      <w:pPr>
        <w:pStyle w:val="Subtitle"/>
      </w:pPr>
      <w:r>
        <w:t>从数据中心系统到部件 工艺 材料与设备</w:t>
      </w:r>
    </w:p>
    <w:p>
      <w:r>
        <w:t>研究截止 2026 年 10 月 15 日</w:t>
      </w:r>
    </w:p>
    <w:p>
      <w:r>
        <w:t>覆盖能源与散热 机架与系统 计算与存储 网络与光互联 晶圆制造 封装与测试</w:t>
      </w:r>
    </w:p>
    <w:p>
      <w:r>
        <w:t>23 个模块  313 条来源记录  6 张产业图</w:t>
      </w:r>
    </w:p>
    <w:p>
      <w:r>
        <w:br w:type="page"/>
      </w:r>
    </w:p>
    <w:p>
      <w:pPr>
        <w:pStyle w:val="Heading1"/>
      </w:pPr>
      <w:r>
        <w:t>目录</w:t>
      </w:r>
    </w:p>
    <w:p>
      <w:r>
        <w:t>导读  AI 基础设施产业全景与 CASPA 参会研究</w:t>
      </w:r>
    </w:p>
    <w:p>
      <w:r>
        <w:t>01  从一块企业级 SSD 看懂整条产业链</w:t>
      </w:r>
    </w:p>
    <w:p>
      <w:r>
        <w:t>总图  全景图与系统连接</w:t>
      </w:r>
    </w:p>
    <w:p>
      <w:r>
        <w:t>01A  NAND 的工艺、材料和设备怎样衔接</w:t>
      </w:r>
    </w:p>
    <w:p>
      <w:r>
        <w:t>02  从电网到芯片：供电架构与材料</w:t>
      </w:r>
    </w:p>
    <w:p>
      <w:r>
        <w:t>02B  热量怎样离开机柜：液冷、建设与运维</w:t>
      </w:r>
    </w:p>
    <w:p>
      <w:r>
        <w:t>03  数据怎样移动：机内、机架、集群与跨中心网络</w:t>
      </w:r>
    </w:p>
    <w:p>
      <w:r>
        <w:t>03B  把一条光链路拆到材料、晶圆、装配与测试</w:t>
      </w:r>
    </w:p>
    <w:p>
      <w:r>
        <w:t>03C  网络与光互联企业地图、瓶颈与可证伪投资命题</w:t>
      </w:r>
    </w:p>
    <w:p>
      <w:r>
        <w:t>04  从 SRAM 到磁带：AI 的内存与存储全景</w:t>
      </w:r>
    </w:p>
    <w:p>
      <w:r>
        <w:t>04A  SSD、网络存储、HDD 与磁带怎样服务 AI</w:t>
      </w:r>
    </w:p>
    <w:p>
      <w:r>
        <w:t>04B  存储公司版图与可验证的投资问题</w:t>
      </w:r>
    </w:p>
    <w:p>
      <w:r>
        <w:t>05  晶圆制造：把电路图变成三维器件</w:t>
      </w:r>
    </w:p>
    <w:p>
      <w:r>
        <w:t>05B  设备公司地图：按工艺能力定位</w:t>
      </w:r>
    </w:p>
    <w:p>
      <w:r>
        <w:t>06  材料地图：同样叫“绝缘”，实际承担不同任务</w:t>
      </w:r>
    </w:p>
    <w:p>
      <w:r>
        <w:t>06B  材料公司分布与投资验证</w:t>
      </w:r>
    </w:p>
    <w:p>
      <w:r>
        <w:t>07  先进封装与电测试：系统性能的另一半</w:t>
      </w:r>
    </w:p>
    <w:p>
      <w:r>
        <w:t>07B  光子封装测试与罗博特科案例</w:t>
      </w:r>
    </w:p>
    <w:p>
      <w:r>
        <w:t>08  计算架构与芯片设计</w:t>
      </w:r>
    </w:p>
    <w:p>
      <w:r>
        <w:t>08B  计算与设计公司地图</w:t>
      </w:r>
    </w:p>
    <w:p>
      <w:r>
        <w:t>09  CASPA 会议与公司对应</w:t>
      </w:r>
    </w:p>
    <w:p>
      <w:r>
        <w:t>10  技术壁垒与投资验证</w:t>
      </w:r>
    </w:p>
    <w:p>
      <w:r>
        <w:t>11  社区异议与深入阅读</w:t>
      </w:r>
    </w:p>
    <w:p>
      <w:r>
        <w:t>来源附录按编号列出原始资料 链接 证据范围及对应章节</w:t>
      </w:r>
    </w:p>
    <w:p>
      <w:pPr>
        <w:pStyle w:val="Heading1"/>
        <w:pageBreakBefore/>
      </w:pPr>
      <w:r>
        <w:t>导读  AI 基础设施产业全景与 CASPA 参会研究</w:t>
      </w:r>
    </w:p>
    <w:p>
      <w:pPr/>
      <w:r>
        <w:t>研究截止 2026 年 10 月 15 日。读者任务是理解 AI 基础设施怎样工作、怎样制造、哪些环节可能形成经济壁垒，并据此在 CASPA CEO Summit 提问。正文把系统运行关系与制造供应关系分开，避免将设备商、芯片设计商、晶圆厂、封装测试厂、系统集成商视为同一类公司。</w:t>
      </w:r>
    </w:p>
    <w:p>
      <w:pPr>
        <w:pStyle w:val="Heading2"/>
      </w:pPr>
      <w:r>
        <w:t>核心判断</w:t>
      </w:r>
    </w:p>
    <w:p>
      <w:pPr/>
      <w:r>
        <w:rPr>
          <w:b/>
        </w:rPr>
        <w:t>本报告的分析结论：AI 基础设施是相互制约的产能系统。</w:t>
      </w:r>
      <w:r>
        <w:t xml:space="preserve"> 可交付的计算能力取决于芯片、内存、封装、网络、供电、散热、软件与运维是否同时到位；单一部件的峰值指标不能代表可售服务。NVIDIA 将 Rubin 描述为多种芯片与机架共同组成的平台，AMD 将 Helios 定义为供伙伴构建系统的参考设计，这两种组织方式都要求跨层协同。</w:t>
      </w:r>
      <w:hyperlink r:id="rId11">
        <w:r>
          <w:rPr>
            <w:color w:val="4338CA"/>
          </w:rPr>
          <w:t>[R004]</w:t>
        </w:r>
      </w:hyperlink>
      <w:hyperlink r:id="rId12">
        <w:r>
          <w:rPr>
            <w:color w:val="4338CA"/>
          </w:rPr>
          <w:t>[R005]</w:t>
        </w:r>
      </w:hyperlink>
    </w:p>
    <w:p>
      <w:pPr/>
      <w:r>
        <w:t>本报告用五个问题替代公司名称堆砌：工作负载要搬运多少数据；哪个物理约束先到；解决它需要哪种部件或工艺；供应商能否稳定批量交付；价值能否留在供应商的现金流里。前四项支撑技术判断，第五项决定技术优势是否可能转化成投资回报。</w:t>
      </w:r>
    </w:p>
    <w:p>
      <w:pPr>
        <w:pStyle w:val="Heading2"/>
      </w:pPr>
      <w:r>
        <w:t>建议阅读顺序</w:t>
      </w:r>
    </w:p>
    <w:p>
      <w:pPr/>
      <w:r>
        <w:t>1. 先读 SSD 实例，建立“终端产品—芯片—工艺—设备—材料”的共同语言。</w:t>
      </w:r>
    </w:p>
    <w:p>
      <w:pPr/>
      <w:r>
        <w:t>2. 看全景图与系统连接，辨认电力、热、数据及制造供应链四类关系。</w:t>
      </w:r>
    </w:p>
    <w:p>
      <w:pPr/>
      <w:r>
        <w:t>3. 选择存储、计算、光互联、能源或制造模块向下钻取；每个模块用能力与验收指标解释公司位置。</w:t>
      </w:r>
    </w:p>
    <w:p>
      <w:pPr/>
      <w:r>
        <w:t>4. 最后读投资验证框架、论坛异议与参会问题。来源附录可以反查所有编号；同一事实只在主章节展开。</w:t>
      </w:r>
    </w:p>
    <w:p>
      <w:pPr>
        <w:pStyle w:val="Heading2"/>
      </w:pPr>
      <w:r>
        <w:t>证据与状态约定</w:t>
      </w:r>
    </w:p>
    <w:p>
      <w:pPr/>
      <w:r>
        <w:rPr>
          <w:b/>
        </w:rPr>
        <w:t>官方事实</w:t>
      </w:r>
      <w:r>
        <w:t>表示官方规范、产品资料或披露文件确实这样记载；其中性能、领先性和未来需求仍可能是厂商自述。</w:t>
      </w:r>
      <w:r>
        <w:rPr>
          <w:b/>
        </w:rPr>
        <w:t>研究推论</w:t>
      </w:r>
      <w:r>
        <w:t>表示本报告从工程约束推导的判断；</w:t>
      </w:r>
      <w:r>
        <w:rPr>
          <w:b/>
        </w:rPr>
        <w:t>社区观点</w:t>
      </w:r>
      <w:r>
        <w:t>用于发现问题，不作为客户关系、份额或财务事实；</w:t>
      </w:r>
      <w:r>
        <w:rPr>
          <w:b/>
        </w:rPr>
        <w:t>待核实</w:t>
      </w:r>
      <w:r>
        <w:t xml:space="preserve">表示公开证据不足。</w:t>
      </w:r>
    </w:p>
    <w:p>
      <w:pPr/>
      <w:r>
        <w:t>产品阶段按“研究/仿真—流片—回片验证—送样—宣称量产—客户部署—可复现基准”记录。它们不是一条自动完成的证明链。网页出现产品名称，不能证明已出货；采购合同、订单、收入、现金回款分别核查。</w:t>
      </w:r>
    </w:p>
    <w:p>
      <w:pPr/>
      <w:r>
        <w:t>地域表按企业主要总部或产业归属归类，台湾地区单列，实际生产地点可能跨国。表中企业是有公开产品线的代表性供给方，</w:t>
      </w:r>
      <w:r>
        <w:rPr>
          <w:b/>
        </w:rPr>
        <w:t>不是经过份额排序的全球完整工商名录</w:t>
      </w:r>
      <w:r>
        <w:t>；未公开的供应关系与客户认证不作填补。</w:t>
      </w:r>
    </w:p>
    <w:p>
      <w:pPr>
        <w:pStyle w:val="Heading2"/>
      </w:pPr>
      <w:r>
        <w:t>研究方法与边界</w:t>
      </w:r>
    </w:p>
    <w:p>
      <w:pPr/>
      <w:r>
        <w:t xml:space="preserve">CASPA 嘉宾 Dylan Patel 所在的产业研究机构为 </w:t>
      </w:r>
      <w:r>
        <w:rPr>
          <w:b/>
        </w:rPr>
        <w:t>SemiAnalysis</w:t>
      </w:r>
      <w:r>
        <w:t xml:space="preserve">。其公开方法说明将物理容量、网络连接比例与 TCO 联系起来；本报告的分析基于公开资料，不引用付费底层模型或未公开客户份额数据库。Seeking Alpha 的公开访谈用于提炼毛利率、存货和订单兑现的分析问题，相关目标价及荐股观点不作为本报告事实。</w:t>
      </w:r>
      <w:hyperlink r:id="rId13">
        <w:r>
          <w:rPr>
            <w:color w:val="4338CA"/>
          </w:rPr>
          <w:t>[R002]</w:t>
        </w:r>
      </w:hyperlink>
      <w:hyperlink r:id="rId14">
        <w:r>
          <w:rPr>
            <w:color w:val="4338CA"/>
          </w:rPr>
          <w:t>[R020]</w:t>
        </w:r>
      </w:hyperlink>
      <w:hyperlink r:id="rId15">
        <w:r>
          <w:rPr>
            <w:color w:val="4338CA"/>
          </w:rPr>
          <w:t>[R021]</w:t>
        </w:r>
      </w:hyperlink>
    </w:p>
    <w:p>
      <w:pPr/>
      <w:r>
        <w:t xml:space="preserve">本研究覆盖 AI 基础设施的架构层级、关键工艺及代表性企业，以公开一手资料为基础，辅以论文、标准、公司技术分享和社区讨论。来源附录区分全文资料与摘要；视频和播客作为延伸阅读，技术结论以可核对的材料为依据。保密配方、未公开供应合同及缺乏可比口径的市场份额不在证据覆盖范围内。</w:t>
      </w:r>
    </w:p>
    <w:p>
      <w:pPr>
        <w:pStyle w:val="Heading1"/>
        <w:pageBreakBefore/>
      </w:pPr>
      <w:r>
        <w:t>01  从一块企业级 SSD 看懂整条产业链</w:t>
      </w:r>
    </w:p>
    <w:p>
      <w:pPr>
        <w:pStyle w:val="Heading2"/>
      </w:pPr>
      <w:r>
        <w:t>先固定研究对象</w:t>
      </w:r>
    </w:p>
    <w:p>
      <w:pPr/>
      <w:r>
        <w:t>以一块装进 AI 存储服务器的 NVMe SSD 为例：它把主机发来的逻辑块，转换成 NAND 闪存中的实际位置。SSD 是整机部件；NAND 是保存数据的存储介质；控制器是执行协议、调度和纠错的逻辑芯片；固件决定这些硬件如何配合。把“闪存厂”“主控厂”“SSD 品牌”“存储系统厂”都归为一个赛道，会同时错判竞争关系和利润来源。</w:t>
      </w:r>
      <w:hyperlink r:id="rId16">
        <w:r>
          <w:rPr>
            <w:color w:val="4338CA"/>
          </w:rPr>
          <w:t>[S001]</w:t>
        </w:r>
      </w:hyperlink>
      <w:hyperlink r:id="rId17">
        <w:r>
          <w:rPr>
            <w:color w:val="4338CA"/>
          </w:rPr>
          <w:t>[S017]</w:t>
        </w:r>
      </w:hyperlink>
    </w:p>
    <w:p>
      <w:pPr/>
      <w:r>
        <w:rPr>
          <w:b/>
        </w:rPr>
        <w:t>一个可手算的容量例子。</w:t>
      </w:r>
      <w:r>
        <w:t xml:space="preserve"> 假设使用 1 Tbit 裸片，并按芯片密度的二进制口径计为 2^40 bit，则单颗为 128 GiB，8 颗合计 1 TiB 原始容量。这里还没有扣除 SSD 预留空间、坏块替换和系统元数据，也没有规定封装数量。SSD 对外标称 TB 常采用十进制，不能混算。1 Tbit TLC 是实际产品规格；8 颗组合是教学假设。Kioxia 密度脚注明确 1 Gb = 2^30 bit。</w:t>
      </w:r>
      <w:hyperlink r:id="rId18">
        <w:r>
          <w:rPr>
            <w:color w:val="4338CA"/>
          </w:rPr>
          <w:t>[S013]</w:t>
        </w:r>
      </w:hyperlink>
    </w:p>
    <w:p>
      <w:pPr>
        <w:pStyle w:val="Heading2"/>
      </w:pPr>
      <w:r>
        <w:t>运行时 一笔写入经过什么</w:t>
      </w:r>
    </w:p>
    <w:tbl>
      <w:tblPr>
        <w:tblW w:type="auto" w:w="0"/>
        <w:jc w:val="center"/>
        <w:tblLayout w:type="fixed"/>
        <w:tblLook w:firstColumn="1" w:firstRow="1" w:lastColumn="0" w:lastRow="0" w:noHBand="0" w:noVBand="1" w:val="04A0"/>
      </w:tblPr>
      <w:tblGrid>
        <w:gridCol w:w="1187"/>
        <w:gridCol w:w="3166"/>
        <w:gridCol w:w="5540"/>
      </w:tblGrid>
      <w:tr>
        <w:trPr>
          <w:tblHeader/>
        </w:trPr>
        <w:tc>
          <w:tcPr>
            <w:tcW w:type="dxa" w:w="1187"/>
            <w:vAlign w:val="top"/>
            <w:shd w:fill="E0E7FF"/>
          </w:tcPr>
          <w:p>
            <w:pPr>
              <w:spacing w:after="80" w:before="60" w:line="276" w:lineRule="auto"/>
            </w:pPr>
            <w:r>
              <w:rPr>
                <w:b/>
                <w:sz w:val="18"/>
              </w:rPr>
              <w:t>顺序</w:t>
            </w:r>
          </w:p>
        </w:tc>
        <w:tc>
          <w:tcPr>
            <w:tcW w:type="dxa" w:w="3166"/>
            <w:vAlign w:val="top"/>
            <w:shd w:fill="E0E7FF"/>
          </w:tcPr>
          <w:p>
            <w:pPr>
              <w:spacing w:after="80" w:before="60" w:line="276" w:lineRule="auto"/>
            </w:pPr>
            <w:r>
              <w:rPr>
                <w:b/>
                <w:sz w:val="18"/>
              </w:rPr>
              <w:t>发生什么</w:t>
            </w:r>
          </w:p>
        </w:tc>
        <w:tc>
          <w:tcPr>
            <w:tcW w:type="dxa" w:w="5540"/>
            <w:vAlign w:val="top"/>
            <w:shd w:fill="E0E7FF"/>
          </w:tcPr>
          <w:p>
            <w:pPr>
              <w:spacing w:after="80" w:before="60" w:line="276" w:lineRule="auto"/>
            </w:pPr>
            <w:r>
              <w:rPr>
                <w:b/>
                <w:sz w:val="18"/>
              </w:rPr>
              <w:t>实际需要的部件或能力</w:t>
            </w:r>
          </w:p>
        </w:tc>
      </w:tr>
      <w:tr>
        <w:trPr>
          <w:cantSplit/>
        </w:trPr>
        <w:tc>
          <w:tcPr>
            <w:tcW w:type="dxa" w:w="1187"/>
            <w:vAlign w:val="top"/>
          </w:tcPr>
          <w:p>
            <w:pPr>
              <w:spacing w:after="80" w:before="60" w:line="276" w:lineRule="auto"/>
            </w:pPr>
            <w:r>
              <w:rPr>
                <w:sz w:val="18"/>
              </w:rPr>
              <w:t>1</w:t>
            </w:r>
          </w:p>
        </w:tc>
        <w:tc>
          <w:tcPr>
            <w:tcW w:type="dxa" w:w="3166"/>
            <w:vAlign w:val="top"/>
          </w:tcPr>
          <w:p>
            <w:pPr>
              <w:spacing w:after="80" w:before="60" w:line="276" w:lineRule="auto"/>
            </w:pPr>
            <w:r>
              <w:rPr>
                <w:sz w:val="18"/>
              </w:rPr>
              <w:t>CPU 提交 NVMe 命令，由 PCIe 搬运数据</w:t>
            </w:r>
          </w:p>
        </w:tc>
        <w:tc>
          <w:tcPr>
            <w:tcW w:type="dxa" w:w="5540"/>
            <w:vAlign w:val="top"/>
          </w:tcPr>
          <w:p>
            <w:pPr>
              <w:spacing w:after="80" w:before="60" w:line="276" w:lineRule="auto"/>
            </w:pPr>
            <w:r>
              <w:rPr>
                <w:sz w:val="18"/>
              </w:rPr>
              <w:t>CPU PCIe 根端口、主板走线、连接器，必要时经过 PCIe 交换机；NVMe 是协议，PCIe 是一种传输路径。</w:t>
            </w:r>
            <w:hyperlink r:id="rId19">
              <w:r>
                <w:rPr>
                  <w:color w:val="4338CA"/>
                </w:rPr>
                <w:t>[S020]</w:t>
              </w:r>
            </w:hyperlink>
          </w:p>
        </w:tc>
      </w:tr>
      <w:tr>
        <w:trPr>
          <w:cantSplit/>
        </w:trPr>
        <w:tc>
          <w:tcPr>
            <w:tcW w:type="dxa" w:w="1187"/>
            <w:vAlign w:val="top"/>
          </w:tcPr>
          <w:p>
            <w:pPr>
              <w:spacing w:after="80" w:before="60" w:line="276" w:lineRule="auto"/>
            </w:pPr>
            <w:r>
              <w:rPr>
                <w:sz w:val="18"/>
              </w:rPr>
              <w:t>2</w:t>
            </w:r>
          </w:p>
        </w:tc>
        <w:tc>
          <w:tcPr>
            <w:tcW w:type="dxa" w:w="3166"/>
            <w:vAlign w:val="top"/>
          </w:tcPr>
          <w:p>
            <w:pPr>
              <w:spacing w:after="80" w:before="60" w:line="276" w:lineRule="auto"/>
            </w:pPr>
            <w:r>
              <w:rPr>
                <w:sz w:val="18"/>
              </w:rPr>
              <w:t>控制器找到可写位置，更新逻辑到物理映射</w:t>
            </w:r>
          </w:p>
        </w:tc>
        <w:tc>
          <w:tcPr>
            <w:tcW w:type="dxa" w:w="5540"/>
            <w:vAlign w:val="top"/>
          </w:tcPr>
          <w:p>
            <w:pPr>
              <w:spacing w:after="80" w:before="60" w:line="276" w:lineRule="auto"/>
            </w:pPr>
            <w:r>
              <w:rPr>
                <w:sz w:val="18"/>
              </w:rPr>
              <w:t>控制器处理器、片上 SRAM、可选外置 DRAM、FTL 固件；映射表不是用户文件系统。</w:t>
            </w:r>
            <w:hyperlink r:id="rId16">
              <w:r>
                <w:rPr>
                  <w:color w:val="4338CA"/>
                </w:rPr>
                <w:t>[S001]</w:t>
              </w:r>
            </w:hyperlink>
            <w:hyperlink r:id="rId20">
              <w:r>
                <w:rPr>
                  <w:color w:val="4338CA"/>
                </w:rPr>
                <w:t>[S025]</w:t>
              </w:r>
            </w:hyperlink>
          </w:p>
        </w:tc>
      </w:tr>
      <w:tr>
        <w:trPr>
          <w:cantSplit/>
        </w:trPr>
        <w:tc>
          <w:tcPr>
            <w:tcW w:type="dxa" w:w="1187"/>
            <w:vAlign w:val="top"/>
          </w:tcPr>
          <w:p>
            <w:pPr>
              <w:spacing w:after="80" w:before="60" w:line="276" w:lineRule="auto"/>
            </w:pPr>
            <w:r>
              <w:rPr>
                <w:sz w:val="18"/>
              </w:rPr>
              <w:t>3</w:t>
            </w:r>
          </w:p>
        </w:tc>
        <w:tc>
          <w:tcPr>
            <w:tcW w:type="dxa" w:w="3166"/>
            <w:vAlign w:val="top"/>
          </w:tcPr>
          <w:p>
            <w:pPr>
              <w:spacing w:after="80" w:before="60" w:line="276" w:lineRule="auto"/>
            </w:pPr>
            <w:r>
              <w:rPr>
                <w:sz w:val="18"/>
              </w:rPr>
              <w:t>编码并并行写入多个 NAND 通道</w:t>
            </w:r>
          </w:p>
        </w:tc>
        <w:tc>
          <w:tcPr>
            <w:tcW w:type="dxa" w:w="5540"/>
            <w:vAlign w:val="top"/>
          </w:tcPr>
          <w:p>
            <w:pPr>
              <w:spacing w:after="80" w:before="60" w:line="276" w:lineRule="auto"/>
            </w:pPr>
            <w:r>
              <w:rPr>
                <w:sz w:val="18"/>
              </w:rPr>
              <w:t>ECC/LDPC、数据路径校验、NAND PHY、通道调度；并行度、纠错开销和功耗要共同设计。</w:t>
            </w:r>
            <w:hyperlink r:id="rId17">
              <w:r>
                <w:rPr>
                  <w:color w:val="4338CA"/>
                </w:rPr>
                <w:t>[S017]</w:t>
              </w:r>
            </w:hyperlink>
          </w:p>
        </w:tc>
      </w:tr>
      <w:tr>
        <w:trPr>
          <w:cantSplit/>
        </w:trPr>
        <w:tc>
          <w:tcPr>
            <w:tcW w:type="dxa" w:w="1187"/>
            <w:vAlign w:val="top"/>
          </w:tcPr>
          <w:p>
            <w:pPr>
              <w:spacing w:after="80" w:before="60" w:line="276" w:lineRule="auto"/>
            </w:pPr>
            <w:r>
              <w:rPr>
                <w:sz w:val="18"/>
              </w:rPr>
              <w:t>4</w:t>
            </w:r>
          </w:p>
        </w:tc>
        <w:tc>
          <w:tcPr>
            <w:tcW w:type="dxa" w:w="3166"/>
            <w:vAlign w:val="top"/>
          </w:tcPr>
          <w:p>
            <w:pPr>
              <w:spacing w:after="80" w:before="60" w:line="276" w:lineRule="auto"/>
            </w:pPr>
            <w:r>
              <w:rPr>
                <w:sz w:val="18"/>
              </w:rPr>
              <w:t>后台搬迁有效页，回收整块空间</w:t>
            </w:r>
          </w:p>
        </w:tc>
        <w:tc>
          <w:tcPr>
            <w:tcW w:type="dxa" w:w="5540"/>
            <w:vAlign w:val="top"/>
          </w:tcPr>
          <w:p>
            <w:pPr>
              <w:spacing w:after="80" w:before="60" w:line="276" w:lineRule="auto"/>
            </w:pPr>
            <w:r>
              <w:rPr>
                <w:sz w:val="18"/>
              </w:rPr>
              <w:t>垃圾回收、磨损均衡、备用块；NAND 按页写、按块擦除，因此主机写入量可能小于内部写入量。</w:t>
            </w:r>
            <w:hyperlink r:id="rId21">
              <w:r>
                <w:rPr>
                  <w:color w:val="4338CA"/>
                </w:rPr>
                <w:t>[S018]</w:t>
              </w:r>
            </w:hyperlink>
          </w:p>
        </w:tc>
      </w:tr>
      <w:tr>
        <w:trPr>
          <w:cantSplit/>
        </w:trPr>
        <w:tc>
          <w:tcPr>
            <w:tcW w:type="dxa" w:w="1187"/>
            <w:vAlign w:val="top"/>
          </w:tcPr>
          <w:p>
            <w:pPr>
              <w:spacing w:after="80" w:before="60" w:line="276" w:lineRule="auto"/>
            </w:pPr>
            <w:r>
              <w:rPr>
                <w:sz w:val="18"/>
              </w:rPr>
              <w:t>5</w:t>
            </w:r>
          </w:p>
        </w:tc>
        <w:tc>
          <w:tcPr>
            <w:tcW w:type="dxa" w:w="3166"/>
            <w:vAlign w:val="top"/>
          </w:tcPr>
          <w:p>
            <w:pPr>
              <w:spacing w:after="80" w:before="60" w:line="276" w:lineRule="auto"/>
            </w:pPr>
            <w:r>
              <w:rPr>
                <w:sz w:val="18"/>
              </w:rPr>
              <w:t>突然掉电时保存写入及关键映射状态</w:t>
            </w:r>
          </w:p>
        </w:tc>
        <w:tc>
          <w:tcPr>
            <w:tcW w:type="dxa" w:w="5540"/>
            <w:vAlign w:val="top"/>
          </w:tcPr>
          <w:p>
            <w:pPr>
              <w:spacing w:after="80" w:before="60" w:line="276" w:lineRule="auto"/>
            </w:pPr>
            <w:r>
              <w:rPr>
                <w:sz w:val="18"/>
              </w:rPr>
              <w:t>电压检测、保持供电电容、PMIC、固件恢复机制；保护范围必须按具体产品确认。</w:t>
            </w:r>
            <w:hyperlink r:id="rId22">
              <w:r>
                <w:rPr>
                  <w:color w:val="4338CA"/>
                </w:rPr>
                <w:t>[S016]</w:t>
              </w:r>
            </w:hyperlink>
          </w:p>
        </w:tc>
      </w:tr>
    </w:tbl>
    <w:p>
      <w:pPr>
        <w:spacing w:after="0"/>
      </w:pPr>
    </w:p>
    <w:p>
      <w:pPr/>
      <w:r>
        <w:t>读取的产业逻辑反向展开：控制器先查映射，NAND 感测电路读取电压状态，纠错引擎恢复数据，再经主机接口返回。顺序吞吐率、随机访问延迟、满盘稳态写入和掉电一致性是不同能力，单个“GB/s”数字无法替代整盘评价。</w:t>
      </w:r>
      <w:hyperlink r:id="rId16">
        <w:r>
          <w:rPr>
            <w:color w:val="4338CA"/>
          </w:rPr>
          <w:t>[S001]</w:t>
        </w:r>
      </w:hyperlink>
      <w:hyperlink r:id="rId23">
        <w:r>
          <w:rPr>
            <w:color w:val="4338CA"/>
          </w:rPr>
          <w:t>[S019]</w:t>
        </w:r>
      </w:hyperlink>
    </w:p>
    <w:p>
      <w:pPr>
        <w:pStyle w:val="Heading2"/>
      </w:pPr>
      <w:r>
        <w:t>制造时 谁把“材料”变成“可交付 SSD”</w:t>
      </w:r>
    </w:p>
    <w:p>
      <w:pPr/>
      <w:r>
        <w:t>下图中的实线是制造或装配关系，虚线是设备/材料支撑关系；它不是同一公司内部的必经组织架构。NAND 与主控通常采用不同工艺，不能把一块 SSD 的所有芯片都叫作“某个纳米制程”。例如慧荣 SM2508 的逻辑主控采用台积电 6nm，NAND 自身另按存储结构和世代演进。</w:t>
      </w:r>
      <w:hyperlink r:id="rId17">
        <w:r>
          <w:rPr>
            <w:color w:val="4338CA"/>
          </w:rPr>
          <w:t>[S017]</w:t>
        </w:r>
      </w:hyperlink>
    </w:p>
    <w:p>
      <w:pPr>
        <w:keepNext/>
      </w:pPr>
      <w:r>
        <w:t>SSD 制造、装配与设备材料支撑关系</w:t>
      </w:r>
    </w:p>
    <w:p>
      <w:r>
        <w:drawing>
          <wp:inline xmlns:a="http://schemas.openxmlformats.org/drawingml/2006/main" xmlns:pic="http://schemas.openxmlformats.org/drawingml/2006/picture">
            <wp:extent cx="6281928" cy="5182591"/>
            <wp:docPr id="7" name="Picture 7"/>
            <wp:cNvGraphicFramePr>
              <a:graphicFrameLocks noChangeAspect="1"/>
            </wp:cNvGraphicFramePr>
            <a:graphic>
              <a:graphicData uri="http://schemas.openxmlformats.org/drawingml/2006/picture">
                <pic:pic>
                  <pic:nvPicPr>
                    <pic:cNvPr id="0" name="diagram-01-ssd-example-0.png"/>
                    <pic:cNvPicPr/>
                  </pic:nvPicPr>
                  <pic:blipFill>
                    <a:blip r:embed="rId327"/>
                    <a:stretch>
                      <a:fillRect/>
                    </a:stretch>
                  </pic:blipFill>
                  <pic:spPr>
                    <a:xfrm>
                      <a:off x="0" y="0"/>
                      <a:ext cx="6281928" cy="5182591"/>
                    </a:xfrm>
                    <a:prstGeom prst="rect"/>
                  </pic:spPr>
                </pic:pic>
              </a:graphicData>
            </a:graphic>
          </wp:inline>
        </w:drawing>
      </w:r>
    </w:p>
    <w:p>
      <w:pPr/>
      <w:r>
        <w:t>图中并列保留了阵列直接进入后续工序及先与 CMOS 键合的路线：Kioxia CBA、长江存储 Xtacking 都把外围电路和阵列分别加工再连接；其他集成方式不必复制完全相同的流程。图是基于公开结构形成的教学抽象，不是厂商保密配方。</w:t>
      </w:r>
      <w:hyperlink r:id="rId25">
        <w:r>
          <w:rPr>
            <w:color w:val="4338CA"/>
          </w:rPr>
          <w:t>[S003]</w:t>
        </w:r>
      </w:hyperlink>
      <w:hyperlink r:id="rId26">
        <w:r>
          <w:rPr>
            <w:color w:val="4338CA"/>
          </w:rPr>
          <w:t>[S007]</w:t>
        </w:r>
      </w:hyperlink>
    </w:p>
    <w:p>
      <w:pPr>
        <w:pStyle w:val="Heading2"/>
      </w:pPr>
      <w:r>
        <w:t>三种“堆叠”必须分开</w:t>
      </w:r>
    </w:p>
    <w:tbl>
      <w:tblPr>
        <w:tblW w:type="auto" w:w="0"/>
        <w:jc w:val="center"/>
        <w:tblLayout w:type="fixed"/>
        <w:tblLook w:firstColumn="1" w:firstRow="1" w:lastColumn="0" w:lastRow="0" w:noHBand="0" w:noVBand="1" w:val="04A0"/>
      </w:tblPr>
      <w:tblGrid>
        <w:gridCol w:w="2328"/>
        <w:gridCol w:w="2134"/>
        <w:gridCol w:w="5431"/>
      </w:tblGrid>
      <w:tr>
        <w:trPr>
          <w:tblHeader/>
        </w:trPr>
        <w:tc>
          <w:tcPr>
            <w:tcW w:type="dxa" w:w="2328"/>
            <w:vAlign w:val="top"/>
            <w:shd w:fill="E0E7FF"/>
          </w:tcPr>
          <w:p>
            <w:pPr>
              <w:spacing w:after="80" w:before="60" w:line="276" w:lineRule="auto"/>
            </w:pPr>
            <w:r>
              <w:rPr>
                <w:b/>
                <w:sz w:val="18"/>
              </w:rPr>
              <w:t>名称</w:t>
            </w:r>
          </w:p>
        </w:tc>
        <w:tc>
          <w:tcPr>
            <w:tcW w:type="dxa" w:w="2134"/>
            <w:vAlign w:val="top"/>
            <w:shd w:fill="E0E7FF"/>
          </w:tcPr>
          <w:p>
            <w:pPr>
              <w:spacing w:after="80" w:before="60" w:line="276" w:lineRule="auto"/>
            </w:pPr>
            <w:r>
              <w:rPr>
                <w:b/>
                <w:sz w:val="18"/>
              </w:rPr>
              <w:t>实际增加什么</w:t>
            </w:r>
          </w:p>
        </w:tc>
        <w:tc>
          <w:tcPr>
            <w:tcW w:type="dxa" w:w="5431"/>
            <w:vAlign w:val="top"/>
            <w:shd w:fill="E0E7FF"/>
          </w:tcPr>
          <w:p>
            <w:pPr>
              <w:spacing w:after="80" w:before="60" w:line="276" w:lineRule="auto"/>
            </w:pPr>
            <w:r>
              <w:rPr>
                <w:b/>
                <w:sz w:val="18"/>
              </w:rPr>
              <w:t>主要约束</w:t>
            </w:r>
          </w:p>
        </w:tc>
      </w:tr>
      <w:tr>
        <w:trPr>
          <w:cantSplit/>
        </w:trPr>
        <w:tc>
          <w:tcPr>
            <w:tcW w:type="dxa" w:w="2328"/>
            <w:vAlign w:val="top"/>
          </w:tcPr>
          <w:p>
            <w:pPr>
              <w:spacing w:after="80" w:before="60" w:line="276" w:lineRule="auto"/>
            </w:pPr>
            <w:r>
              <w:rPr>
                <w:sz w:val="18"/>
              </w:rPr>
              <w:t>NAND 单 die 的垂直 cell/word-line 层数</w:t>
            </w:r>
          </w:p>
        </w:tc>
        <w:tc>
          <w:tcPr>
            <w:tcW w:type="dxa" w:w="2134"/>
            <w:vAlign w:val="top"/>
          </w:tcPr>
          <w:p>
            <w:pPr>
              <w:spacing w:after="80" w:before="60" w:line="276" w:lineRule="auto"/>
            </w:pPr>
            <w:r>
              <w:rPr>
                <w:sz w:val="18"/>
              </w:rPr>
              <w:t>一颗裸片内部可存储的垂直位置</w:t>
            </w:r>
          </w:p>
        </w:tc>
        <w:tc>
          <w:tcPr>
            <w:tcW w:type="dxa" w:w="5431"/>
            <w:vAlign w:val="top"/>
          </w:tcPr>
          <w:p>
            <w:pPr>
              <w:spacing w:after="80" w:before="60" w:line="276" w:lineRule="auto"/>
            </w:pPr>
            <w:r>
              <w:rPr>
                <w:sz w:val="18"/>
              </w:rPr>
              <w:t>孔深、孔形、字线电阻、膜应力、层间干扰。</w:t>
            </w:r>
            <w:hyperlink r:id="rId27">
              <w:r>
                <w:rPr>
                  <w:color w:val="4338CA"/>
                </w:rPr>
                <w:t>[S002]</w:t>
              </w:r>
            </w:hyperlink>
            <w:hyperlink r:id="rId28">
              <w:r>
                <w:rPr>
                  <w:color w:val="4338CA"/>
                </w:rPr>
                <w:t>[S008]</w:t>
              </w:r>
            </w:hyperlink>
          </w:p>
        </w:tc>
      </w:tr>
      <w:tr>
        <w:trPr>
          <w:cantSplit/>
        </w:trPr>
        <w:tc>
          <w:tcPr>
            <w:tcW w:type="dxa" w:w="2328"/>
            <w:vAlign w:val="top"/>
          </w:tcPr>
          <w:p>
            <w:pPr>
              <w:spacing w:after="80" w:before="60" w:line="276" w:lineRule="auto"/>
            </w:pPr>
            <w:r>
              <w:rPr>
                <w:sz w:val="18"/>
              </w:rPr>
              <w:t>NAND 阵列与 CMOS 的晶圆键合</w:t>
            </w:r>
          </w:p>
        </w:tc>
        <w:tc>
          <w:tcPr>
            <w:tcW w:type="dxa" w:w="2134"/>
            <w:vAlign w:val="top"/>
          </w:tcPr>
          <w:p>
            <w:pPr>
              <w:spacing w:after="80" w:before="60" w:line="276" w:lineRule="auto"/>
            </w:pPr>
            <w:r>
              <w:rPr>
                <w:sz w:val="18"/>
              </w:rPr>
              <w:t>独立制造两种功能，再建立大量连接</w:t>
            </w:r>
          </w:p>
        </w:tc>
        <w:tc>
          <w:tcPr>
            <w:tcW w:type="dxa" w:w="5431"/>
            <w:vAlign w:val="top"/>
          </w:tcPr>
          <w:p>
            <w:pPr>
              <w:spacing w:after="80" w:before="60" w:line="276" w:lineRule="auto"/>
            </w:pPr>
            <w:r>
              <w:rPr>
                <w:sz w:val="18"/>
              </w:rPr>
              <w:t>表面平整度、洁净度、对准和键合缺陷；并不自动增加存储 cell 层数。</w:t>
            </w:r>
            <w:hyperlink r:id="rId25">
              <w:r>
                <w:rPr>
                  <w:color w:val="4338CA"/>
                </w:rPr>
                <w:t>[S003]</w:t>
              </w:r>
            </w:hyperlink>
            <w:hyperlink r:id="rId26">
              <w:r>
                <w:rPr>
                  <w:color w:val="4338CA"/>
                </w:rPr>
                <w:t>[S007]</w:t>
              </w:r>
            </w:hyperlink>
          </w:p>
        </w:tc>
      </w:tr>
      <w:tr>
        <w:trPr>
          <w:cantSplit/>
        </w:trPr>
        <w:tc>
          <w:tcPr>
            <w:tcW w:type="dxa" w:w="2328"/>
            <w:vAlign w:val="top"/>
          </w:tcPr>
          <w:p>
            <w:pPr>
              <w:spacing w:after="80" w:before="60" w:line="276" w:lineRule="auto"/>
            </w:pPr>
            <w:r>
              <w:rPr>
                <w:sz w:val="18"/>
              </w:rPr>
              <w:t>一个封装内堆多颗 NAND die，或 HBM 内堆 DRAM die</w:t>
            </w:r>
          </w:p>
        </w:tc>
        <w:tc>
          <w:tcPr>
            <w:tcW w:type="dxa" w:w="2134"/>
            <w:vAlign w:val="top"/>
          </w:tcPr>
          <w:p>
            <w:pPr>
              <w:spacing w:after="80" w:before="60" w:line="276" w:lineRule="auto"/>
            </w:pPr>
            <w:r>
              <w:rPr>
                <w:sz w:val="18"/>
              </w:rPr>
              <w:t>封装内的裸片数量</w:t>
            </w:r>
          </w:p>
        </w:tc>
        <w:tc>
          <w:tcPr>
            <w:tcW w:type="dxa" w:w="5431"/>
            <w:vAlign w:val="top"/>
          </w:tcPr>
          <w:p>
            <w:pPr>
              <w:spacing w:after="80" w:before="60" w:line="276" w:lineRule="auto"/>
            </w:pPr>
            <w:r>
              <w:rPr>
                <w:sz w:val="18"/>
              </w:rPr>
              <w:t>裸片厚度、连接、热、封装测试；HBM 还涉及 TSV 和宽接口。</w:t>
            </w:r>
            <w:hyperlink r:id="rId29">
              <w:r>
                <w:rPr>
                  <w:color w:val="4338CA"/>
                </w:rPr>
                <w:t>[S026]</w:t>
              </w:r>
            </w:hyperlink>
            <w:hyperlink r:id="rId30">
              <w:r>
                <w:rPr>
                  <w:color w:val="4338CA"/>
                </w:rPr>
                <w:t>[S068]</w:t>
              </w:r>
            </w:hyperlink>
          </w:p>
        </w:tc>
      </w:tr>
    </w:tbl>
    <w:p>
      <w:pPr>
        <w:spacing w:after="0"/>
      </w:pPr>
    </w:p>
    <w:p>
      <w:pPr/>
      <w:r>
        <w:rPr>
          <w:b/>
        </w:rPr>
        <w:t>读路线图的规则：比较良品 bit 成本，而非比较层数标题。</w:t>
      </w:r>
      <w:r>
        <w:t xml:space="preserve"> Kioxia 2025 年公布的第九代 512 Gb TLC 采用基于第五代技术的 120 层工艺和新 CMOS/CBA，目标是成本与性能组合；2026 年第十代 1 Tb TLC 则在 7 月宣布送样，采用更先进堆叠。不同世代名称不保证层数严格单调，更不能把送样当作收入量产。</w:t>
      </w:r>
      <w:hyperlink r:id="rId31">
        <w:r>
          <w:rPr>
            <w:color w:val="4338CA"/>
          </w:rPr>
          <w:t>[S057]</w:t>
        </w:r>
      </w:hyperlink>
      <w:hyperlink r:id="rId18">
        <w:r>
          <w:rPr>
            <w:color w:val="4338CA"/>
          </w:rPr>
          <w:t>[S013]</w:t>
        </w:r>
      </w:hyperlink>
    </w:p>
    <w:p>
      <w:pPr>
        <w:pStyle w:val="Heading2"/>
      </w:pPr>
      <w:r>
        <w:t>同一块 SSD 上的四种经济模型</w:t>
      </w:r>
    </w:p>
    <w:p>
      <w:pPr>
        <w:pStyle w:val="ListBullet"/>
      </w:pPr>
      <w:r>
        <w:rPr>
          <w:b/>
        </w:rPr>
        <w:t>NAND 制造商：</w:t>
      </w:r>
      <w:r>
        <w:t xml:space="preserve"> 为晶圆厂、工艺平台、良率和每 bit 成本投入资本；层数提高可能同时增加工序、设备占用和缺陷风险，最终看每片晶圆产出多少可售良品 bit。</w:t>
      </w:r>
      <w:hyperlink r:id="rId25">
        <w:r>
          <w:rPr>
            <w:color w:val="4338CA"/>
          </w:rPr>
          <w:t>[S003]</w:t>
        </w:r>
      </w:hyperlink>
      <w:hyperlink r:id="rId28">
        <w:r>
          <w:rPr>
            <w:color w:val="4338CA"/>
          </w:rPr>
          <w:t>[S008]</w:t>
        </w:r>
      </w:hyperlink>
    </w:p>
    <w:p>
      <w:pPr>
        <w:pStyle w:val="ListBullet"/>
      </w:pPr>
      <w:r>
        <w:rPr>
          <w:b/>
        </w:rPr>
        <w:t>独立控制器公司：</w:t>
      </w:r>
      <w:r>
        <w:t xml:space="preserve"> 通过逻辑芯片和固件适配不同 NAND，在纠错、调度、安全和低功耗上竞争。主控支持某 NAND，不代表客户所有固件版本与容量组合都已认证。</w:t>
      </w:r>
      <w:hyperlink r:id="rId17">
        <w:r>
          <w:rPr>
            <w:color w:val="4338CA"/>
          </w:rPr>
          <w:t>[S017]</w:t>
        </w:r>
      </w:hyperlink>
    </w:p>
    <w:p>
      <w:pPr>
        <w:pStyle w:val="ListBullet"/>
      </w:pPr>
      <w:r>
        <w:rPr>
          <w:b/>
        </w:rPr>
        <w:t>SSD 方案及品牌公司：</w:t>
      </w:r>
      <w:r>
        <w:t xml:space="preserve"> 组合介质、主控、固件、PCB 与可靠性保障。企业客户购买的是可持续交付的完整盘及其工作负载表现；需要预处理和一致条件下的整盘测试。</w:t>
      </w:r>
      <w:hyperlink r:id="rId23">
        <w:r>
          <w:rPr>
            <w:color w:val="4338CA"/>
          </w:rPr>
          <w:t>[S019]</w:t>
        </w:r>
      </w:hyperlink>
      <w:hyperlink r:id="rId32">
        <w:r>
          <w:rPr>
            <w:color w:val="4338CA"/>
          </w:rPr>
          <w:t>[S023]</w:t>
        </w:r>
      </w:hyperlink>
    </w:p>
    <w:p>
      <w:pPr>
        <w:pStyle w:val="ListBullet"/>
      </w:pPr>
      <w:r>
        <w:rPr>
          <w:b/>
        </w:rPr>
        <w:t>设备与材料公司：</w:t>
      </w:r>
      <w:r>
        <w:t xml:space="preserve"> 销售刻蚀/沉积/清洗等工艺能力以及持续消耗的化学品。投资验证要追到具体步骤的客户导入、扩产需求与单片消耗，而不是从 NAND 需求直接跳到某供应商收入。</w:t>
      </w:r>
      <w:hyperlink r:id="rId33">
        <w:r>
          <w:rPr>
            <w:color w:val="4338CA"/>
          </w:rPr>
          <w:t>[S004]</w:t>
        </w:r>
      </w:hyperlink>
      <w:hyperlink r:id="rId34">
        <w:r>
          <w:rPr>
            <w:color w:val="4338CA"/>
          </w:rPr>
          <w:t>[S006]</w:t>
        </w:r>
      </w:hyperlink>
      <w:hyperlink r:id="rId35">
        <w:r>
          <w:rPr>
            <w:color w:val="4338CA"/>
          </w:rPr>
          <w:t>[S009]</w:t>
        </w:r>
      </w:hyperlink>
    </w:p>
    <w:p>
      <w:pPr/>
      <w:r>
        <w:t>下一节把制造过程打开到孔、薄膜和金属；第 04 章再把 SSD 放回 SRAM、DRAM、HBM、HDD 与磁带共同构成的系统。</w:t>
      </w:r>
    </w:p>
    <w:p>
      <w:pPr>
        <w:pStyle w:val="Heading1"/>
        <w:pageBreakBefore/>
      </w:pPr>
      <w:r>
        <w:t>总图  全景图与系统连接</w:t>
      </w:r>
    </w:p>
    <w:p>
      <w:pPr>
        <w:pStyle w:val="Heading2"/>
      </w:pPr>
      <w:r>
        <w:t>从一个 AI 请求看整座设施</w:t>
      </w:r>
    </w:p>
    <w:p>
      <w:pPr/>
      <w:r>
        <w:t>典型在线推理可拆为请求进入前端网络、CPU 执行鉴权和调度、数据或模型从存储进入主存、加速器完成计算、结果返回。模型权重、KV cache 和中间激活的驻留与搬运由运行时决定；PagedAttention、批处理和分阶段服务会改变真实的容量及带宽需求。因此，硬件分析必须带着软件的访问模式进行。</w:t>
      </w:r>
      <w:hyperlink r:id="rId36">
        <w:r>
          <w:rPr>
            <w:color w:val="4338CA"/>
          </w:rPr>
          <w:t>[R013]</w:t>
        </w:r>
      </w:hyperlink>
      <w:hyperlink r:id="rId37">
        <w:r>
          <w:rPr>
            <w:color w:val="4338CA"/>
          </w:rPr>
          <w:t>[R014]</w:t>
        </w:r>
      </w:hyperlink>
    </w:p>
    <w:p>
      <w:pPr/>
      <w:r>
        <w:t>在本文框架中，</w:t>
      </w:r>
      <w:r>
        <w:rPr>
          <w:b/>
        </w:rPr>
        <w:t>scale-up</w:t>
      </w:r>
      <w:r>
        <w:t>是一个紧耦合计算域内的加速器互联，</w:t>
      </w:r>
      <w:r>
        <w:rPr>
          <w:b/>
        </w:rPr>
        <w:t>scale-out</w:t>
      </w:r>
      <w:r>
        <w:t>连接多个计算域；它们与“同机架/跨机架”并非永远一一对应。前端业务、后端训练/推理通信、存储网络、带外管理网络应分别画出，避免将所有交换机和光模块算成一张网。</w:t>
      </w:r>
      <w:hyperlink r:id="rId38">
        <w:r>
          <w:rPr>
            <w:color w:val="4338CA"/>
          </w:rPr>
          <w:t>[N021]</w:t>
        </w:r>
      </w:hyperlink>
      <w:hyperlink r:id="rId39">
        <w:r>
          <w:rPr>
            <w:color w:val="4338CA"/>
          </w:rPr>
          <w:t>[N022]</w:t>
        </w:r>
      </w:hyperlink>
      <w:hyperlink r:id="rId40">
        <w:r>
          <w:rPr>
            <w:color w:val="4338CA"/>
          </w:rPr>
          <w:t>[N024]</w:t>
        </w:r>
      </w:hyperlink>
    </w:p>
    <w:p>
      <w:pPr>
        <w:pStyle w:val="Heading2"/>
      </w:pPr>
      <w:r>
        <w:t>图一 全产业链总图</w:t>
      </w:r>
    </w:p>
    <w:p>
      <w:r>
        <w:drawing>
          <wp:inline xmlns:a="http://schemas.openxmlformats.org/drawingml/2006/main" xmlns:pic="http://schemas.openxmlformats.org/drawingml/2006/picture">
            <wp:extent cx="6281928" cy="4445477"/>
            <wp:docPr id="2" name="Picture 2"/>
            <wp:cNvGraphicFramePr>
              <a:graphicFrameLocks noChangeAspect="1"/>
            </wp:cNvGraphicFramePr>
            <a:graphic>
              <a:graphicData uri="http://schemas.openxmlformats.org/drawingml/2006/picture">
                <pic:pic>
                  <pic:nvPicPr>
                    <pic:cNvPr id="0" name="01-panorama.png"/>
                    <pic:cNvPicPr/>
                  </pic:nvPicPr>
                  <pic:blipFill>
                    <a:blip r:embed="rId41"/>
                    <a:stretch>
                      <a:fillRect/>
                    </a:stretch>
                  </pic:blipFill>
                  <pic:spPr>
                    <a:xfrm>
                      <a:off x="0" y="0"/>
                      <a:ext cx="6281928" cy="4445477"/>
                    </a:xfrm>
                    <a:prstGeom prst="rect"/>
                  </pic:spPr>
                </pic:pic>
              </a:graphicData>
            </a:graphic>
          </wp:inline>
        </w:drawing>
      </w:r>
    </w:p>
    <w:p>
      <w:pPr>
        <w:jc w:val="center"/>
      </w:pPr>
      <w:r>
        <w:t>AI基础设施四条链总图</w:t>
      </w:r>
    </w:p>
    <w:p>
      <w:pPr/>
      <w:r>
        <w:t>图注：这是本报告对各章证据的综合架构，不是某厂商的采购 BOM。实线表示系统中的电、热或数据流，制造链箭头表示供应和工序依赖。公司举例及来源在各模块给出。纵向读法为“电网到 token”；横向读法为“设计到制造再到系统交付”。</w:t>
      </w:r>
    </w:p>
    <w:p>
      <w:pPr>
        <w:pStyle w:val="Heading2"/>
      </w:pPr>
      <w:r>
        <w:t>图二 数据中心与机架内部</w:t>
      </w:r>
    </w:p>
    <w:p>
      <w:r>
        <w:drawing>
          <wp:inline xmlns:a="http://schemas.openxmlformats.org/drawingml/2006/main" xmlns:pic="http://schemas.openxmlformats.org/drawingml/2006/picture">
            <wp:extent cx="6281928" cy="4445477"/>
            <wp:docPr id="3" name="Picture 3"/>
            <wp:cNvGraphicFramePr>
              <a:graphicFrameLocks noChangeAspect="1"/>
            </wp:cNvGraphicFramePr>
            <a:graphic>
              <a:graphicData uri="http://schemas.openxmlformats.org/drawingml/2006/picture">
                <pic:pic>
                  <pic:nvPicPr>
                    <pic:cNvPr id="0" name="02-system.png"/>
                    <pic:cNvPicPr/>
                  </pic:nvPicPr>
                  <pic:blipFill>
                    <a:blip r:embed="rId42"/>
                    <a:stretch>
                      <a:fillRect/>
                    </a:stretch>
                  </pic:blipFill>
                  <pic:spPr>
                    <a:xfrm>
                      <a:off x="0" y="0"/>
                      <a:ext cx="6281928" cy="4445477"/>
                    </a:xfrm>
                    <a:prstGeom prst="rect"/>
                  </pic:spPr>
                </pic:pic>
              </a:graphicData>
            </a:graphic>
          </wp:inline>
        </w:drawing>
      </w:r>
    </w:p>
    <w:p>
      <w:pPr>
        <w:jc w:val="center"/>
      </w:pPr>
      <w:r>
        <w:t>数据中心及机架连接</w:t>
      </w:r>
    </w:p>
    <w:p>
      <w:pPr/>
      <w:r>
        <w:t>图注：GPU 到 HBM 是封装内的短距宽接口；CPU 到内存一般是 DDR 通道；CPU/加速器/NIC 的本地连接可含 PCIe，CXL 在特定 CPU 与设备组合上增加一致性/内存语义。GPU scale-up 可以经过专用交换结构；scale-out 通过 NIC 和交换网络。此图不表示全部 GPU 内部通信都先经过 CPU。</w:t>
      </w:r>
      <w:hyperlink r:id="rId11">
        <w:r>
          <w:rPr>
            <w:color w:val="4338CA"/>
          </w:rPr>
          <w:t>[R004]</w:t>
        </w:r>
      </w:hyperlink>
      <w:hyperlink r:id="rId43">
        <w:r>
          <w:rPr>
            <w:color w:val="4338CA"/>
          </w:rPr>
          <w:t>[R006]</w:t>
        </w:r>
      </w:hyperlink>
      <w:hyperlink r:id="rId44">
        <w:r>
          <w:rPr>
            <w:color w:val="4338CA"/>
          </w:rPr>
          <w:t>[N025]</w:t>
        </w:r>
      </w:hyperlink>
      <w:hyperlink r:id="rId45">
        <w:r>
          <w:rPr>
            <w:color w:val="4338CA"/>
          </w:rPr>
          <w:t>[N026]</w:t>
        </w:r>
      </w:hyperlink>
      <w:hyperlink r:id="rId38">
        <w:r>
          <w:rPr>
            <w:color w:val="4338CA"/>
          </w:rPr>
          <w:t>[N021]</w:t>
        </w:r>
      </w:hyperlink>
      <w:hyperlink r:id="rId40">
        <w:r>
          <w:rPr>
            <w:color w:val="4338CA"/>
          </w:rPr>
          <w:t>[N024]</w:t>
        </w:r>
      </w:hyperlink>
    </w:p>
    <w:p>
      <w:pPr>
        <w:pStyle w:val="Heading2"/>
      </w:pPr>
      <w:r>
        <w:t>七个层级的进入点</w:t>
      </w:r>
    </w:p>
    <w:tbl>
      <w:tblPr>
        <w:tblW w:type="auto" w:w="0"/>
        <w:jc w:val="center"/>
        <w:tblLayout w:type="fixed"/>
        <w:tblLook w:firstColumn="1" w:firstRow="1" w:lastColumn="0" w:lastRow="0" w:noHBand="0" w:noVBand="1" w:val="04A0"/>
      </w:tblPr>
      <w:tblGrid>
        <w:gridCol w:w="1117"/>
        <w:gridCol w:w="1653"/>
        <w:gridCol w:w="4609"/>
        <w:gridCol w:w="2514"/>
      </w:tblGrid>
      <w:tr>
        <w:trPr>
          <w:tblHeader/>
        </w:trPr>
        <w:tc>
          <w:tcPr>
            <w:tcW w:type="dxa" w:w="1117"/>
            <w:vAlign w:val="top"/>
            <w:shd w:fill="E0E7FF"/>
          </w:tcPr>
          <w:p>
            <w:pPr>
              <w:spacing w:after="80" w:before="60" w:line="276" w:lineRule="auto"/>
            </w:pPr>
            <w:r>
              <w:rPr>
                <w:b/>
                <w:sz w:val="18"/>
              </w:rPr>
              <w:t>层级</w:t>
            </w:r>
          </w:p>
        </w:tc>
        <w:tc>
          <w:tcPr>
            <w:tcW w:type="dxa" w:w="1653"/>
            <w:vAlign w:val="top"/>
            <w:shd w:fill="E0E7FF"/>
          </w:tcPr>
          <w:p>
            <w:pPr>
              <w:spacing w:after="80" w:before="60" w:line="276" w:lineRule="auto"/>
            </w:pPr>
            <w:r>
              <w:rPr>
                <w:b/>
                <w:sz w:val="18"/>
              </w:rPr>
              <w:t>要回答的问题</w:t>
            </w:r>
          </w:p>
        </w:tc>
        <w:tc>
          <w:tcPr>
            <w:tcW w:type="dxa" w:w="4609"/>
            <w:vAlign w:val="top"/>
            <w:shd w:fill="E0E7FF"/>
          </w:tcPr>
          <w:p>
            <w:pPr>
              <w:spacing w:after="80" w:before="60" w:line="276" w:lineRule="auto"/>
            </w:pPr>
            <w:r>
              <w:rPr>
                <w:b/>
                <w:sz w:val="18"/>
              </w:rPr>
              <w:t>对应硬件与供应者类型</w:t>
            </w:r>
          </w:p>
        </w:tc>
        <w:tc>
          <w:tcPr>
            <w:tcW w:type="dxa" w:w="2514"/>
            <w:vAlign w:val="top"/>
            <w:shd w:fill="E0E7FF"/>
          </w:tcPr>
          <w:p>
            <w:pPr>
              <w:spacing w:after="80" w:before="60" w:line="276" w:lineRule="auto"/>
            </w:pPr>
            <w:r>
              <w:rPr>
                <w:b/>
                <w:sz w:val="18"/>
              </w:rPr>
              <w:t>应观察的约束</w:t>
            </w:r>
          </w:p>
        </w:tc>
      </w:tr>
      <w:tr>
        <w:trPr>
          <w:cantSplit/>
        </w:trPr>
        <w:tc>
          <w:tcPr>
            <w:tcW w:type="dxa" w:w="1117"/>
            <w:vAlign w:val="top"/>
          </w:tcPr>
          <w:p>
            <w:pPr>
              <w:spacing w:after="80" w:before="60" w:line="276" w:lineRule="auto"/>
            </w:pPr>
            <w:r>
              <w:rPr>
                <w:sz w:val="18"/>
              </w:rPr>
              <w:t>园区与设施</w:t>
            </w:r>
          </w:p>
        </w:tc>
        <w:tc>
          <w:tcPr>
            <w:tcW w:type="dxa" w:w="1653"/>
            <w:vAlign w:val="top"/>
          </w:tcPr>
          <w:p>
            <w:pPr>
              <w:spacing w:after="80" w:before="60" w:line="276" w:lineRule="auto"/>
            </w:pPr>
            <w:r>
              <w:rPr>
                <w:sz w:val="18"/>
              </w:rPr>
              <w:t>何时有可用电力和机房</w:t>
            </w:r>
          </w:p>
        </w:tc>
        <w:tc>
          <w:tcPr>
            <w:tcW w:type="dxa" w:w="4609"/>
            <w:vAlign w:val="top"/>
          </w:tcPr>
          <w:p>
            <w:pPr>
              <w:spacing w:after="80" w:before="60" w:line="276" w:lineRule="auto"/>
            </w:pPr>
            <w:r>
              <w:rPr>
                <w:sz w:val="18"/>
              </w:rPr>
              <w:t>公用事业、变压器、开关设备、EPC、UPS、发电机</w:t>
            </w:r>
          </w:p>
        </w:tc>
        <w:tc>
          <w:tcPr>
            <w:tcW w:type="dxa" w:w="2514"/>
            <w:vAlign w:val="top"/>
          </w:tcPr>
          <w:p>
            <w:pPr>
              <w:spacing w:after="80" w:before="60" w:line="276" w:lineRule="auto"/>
            </w:pPr>
            <w:r>
              <w:rPr>
                <w:sz w:val="18"/>
              </w:rPr>
              <w:t>已送电 MW、施工与许可、可靠性</w:t>
            </w:r>
          </w:p>
        </w:tc>
      </w:tr>
      <w:tr>
        <w:trPr>
          <w:cantSplit/>
        </w:trPr>
        <w:tc>
          <w:tcPr>
            <w:tcW w:type="dxa" w:w="1117"/>
            <w:vAlign w:val="top"/>
          </w:tcPr>
          <w:p>
            <w:pPr>
              <w:spacing w:after="80" w:before="60" w:line="276" w:lineRule="auto"/>
            </w:pPr>
            <w:r>
              <w:rPr>
                <w:sz w:val="18"/>
              </w:rPr>
              <w:t>机架</w:t>
            </w:r>
          </w:p>
        </w:tc>
        <w:tc>
          <w:tcPr>
            <w:tcW w:type="dxa" w:w="1653"/>
            <w:vAlign w:val="top"/>
          </w:tcPr>
          <w:p>
            <w:pPr>
              <w:spacing w:after="80" w:before="60" w:line="276" w:lineRule="auto"/>
            </w:pPr>
            <w:r>
              <w:rPr>
                <w:sz w:val="18"/>
              </w:rPr>
              <w:t>电与冷却怎样送到托盘</w:t>
            </w:r>
          </w:p>
        </w:tc>
        <w:tc>
          <w:tcPr>
            <w:tcW w:type="dxa" w:w="4609"/>
            <w:vAlign w:val="top"/>
          </w:tcPr>
          <w:p>
            <w:pPr>
              <w:spacing w:after="80" w:before="60" w:line="276" w:lineRule="auto"/>
            </w:pPr>
            <w:r>
              <w:rPr>
                <w:sz w:val="18"/>
              </w:rPr>
              <w:t>机柜、母排、PDU、power shelf、CDU、歧管、冷板</w:t>
            </w:r>
          </w:p>
        </w:tc>
        <w:tc>
          <w:tcPr>
            <w:tcW w:type="dxa" w:w="2514"/>
            <w:vAlign w:val="top"/>
          </w:tcPr>
          <w:p>
            <w:pPr>
              <w:spacing w:after="80" w:before="60" w:line="276" w:lineRule="auto"/>
            </w:pPr>
            <w:r>
              <w:rPr>
                <w:sz w:val="18"/>
              </w:rPr>
              <w:t>每架功率、维护窗口、漏液与保护</w:t>
            </w:r>
          </w:p>
        </w:tc>
      </w:tr>
      <w:tr>
        <w:trPr>
          <w:cantSplit/>
        </w:trPr>
        <w:tc>
          <w:tcPr>
            <w:tcW w:type="dxa" w:w="1117"/>
            <w:vAlign w:val="top"/>
          </w:tcPr>
          <w:p>
            <w:pPr>
              <w:spacing w:after="80" w:before="60" w:line="276" w:lineRule="auto"/>
            </w:pPr>
            <w:r>
              <w:rPr>
                <w:sz w:val="18"/>
              </w:rPr>
              <w:t>系统板</w:t>
            </w:r>
          </w:p>
        </w:tc>
        <w:tc>
          <w:tcPr>
            <w:tcW w:type="dxa" w:w="1653"/>
            <w:vAlign w:val="top"/>
          </w:tcPr>
          <w:p>
            <w:pPr>
              <w:spacing w:after="80" w:before="60" w:line="276" w:lineRule="auto"/>
            </w:pPr>
            <w:r>
              <w:rPr>
                <w:sz w:val="18"/>
              </w:rPr>
              <w:t>算力与内存如何连接</w:t>
            </w:r>
          </w:p>
        </w:tc>
        <w:tc>
          <w:tcPr>
            <w:tcW w:type="dxa" w:w="4609"/>
            <w:vAlign w:val="top"/>
          </w:tcPr>
          <w:p>
            <w:pPr>
              <w:spacing w:after="80" w:before="60" w:line="276" w:lineRule="auto"/>
            </w:pPr>
            <w:r>
              <w:rPr>
                <w:sz w:val="18"/>
              </w:rPr>
              <w:t>CPU、GPU、NIC/DPU、DDR、SSD、PCB、连接器</w:t>
            </w:r>
          </w:p>
        </w:tc>
        <w:tc>
          <w:tcPr>
            <w:tcW w:type="dxa" w:w="2514"/>
            <w:vAlign w:val="top"/>
          </w:tcPr>
          <w:p>
            <w:pPr>
              <w:spacing w:after="80" w:before="60" w:line="276" w:lineRule="auto"/>
            </w:pPr>
            <w:r>
              <w:rPr>
                <w:sz w:val="18"/>
              </w:rPr>
              <w:t>供电完整性、信号完整性、布局和散热</w:t>
            </w:r>
          </w:p>
        </w:tc>
      </w:tr>
      <w:tr>
        <w:trPr>
          <w:cantSplit/>
        </w:trPr>
        <w:tc>
          <w:tcPr>
            <w:tcW w:type="dxa" w:w="1117"/>
            <w:vAlign w:val="top"/>
          </w:tcPr>
          <w:p>
            <w:pPr>
              <w:spacing w:after="80" w:before="60" w:line="276" w:lineRule="auto"/>
            </w:pPr>
            <w:r>
              <w:rPr>
                <w:sz w:val="18"/>
              </w:rPr>
              <w:t>封装</w:t>
            </w:r>
          </w:p>
        </w:tc>
        <w:tc>
          <w:tcPr>
            <w:tcW w:type="dxa" w:w="1653"/>
            <w:vAlign w:val="top"/>
          </w:tcPr>
          <w:p>
            <w:pPr>
              <w:spacing w:after="80" w:before="60" w:line="276" w:lineRule="auto"/>
            </w:pPr>
            <w:r>
              <w:rPr>
                <w:sz w:val="18"/>
              </w:rPr>
              <w:t>多种裸片如何组合</w:t>
            </w:r>
          </w:p>
        </w:tc>
        <w:tc>
          <w:tcPr>
            <w:tcW w:type="dxa" w:w="4609"/>
            <w:vAlign w:val="top"/>
          </w:tcPr>
          <w:p>
            <w:pPr>
              <w:spacing w:after="80" w:before="60" w:line="276" w:lineRule="auto"/>
            </w:pPr>
            <w:r>
              <w:rPr>
                <w:sz w:val="18"/>
              </w:rPr>
              <w:t>HBM、interposer、RDL、TSV、基板、键合与测试</w:t>
            </w:r>
          </w:p>
        </w:tc>
        <w:tc>
          <w:tcPr>
            <w:tcW w:type="dxa" w:w="2514"/>
            <w:vAlign w:val="top"/>
          </w:tcPr>
          <w:p>
            <w:pPr>
              <w:spacing w:after="80" w:before="60" w:line="276" w:lineRule="auto"/>
            </w:pPr>
            <w:r>
              <w:rPr>
                <w:sz w:val="18"/>
              </w:rPr>
              <w:t>带宽密度、翘曲、良率、热阻</w:t>
            </w:r>
          </w:p>
        </w:tc>
      </w:tr>
      <w:tr>
        <w:trPr>
          <w:cantSplit/>
        </w:trPr>
        <w:tc>
          <w:tcPr>
            <w:tcW w:type="dxa" w:w="1117"/>
            <w:vAlign w:val="top"/>
          </w:tcPr>
          <w:p>
            <w:pPr>
              <w:spacing w:after="80" w:before="60" w:line="276" w:lineRule="auto"/>
            </w:pPr>
            <w:r>
              <w:rPr>
                <w:sz w:val="18"/>
              </w:rPr>
              <w:t>裸片</w:t>
            </w:r>
          </w:p>
        </w:tc>
        <w:tc>
          <w:tcPr>
            <w:tcW w:type="dxa" w:w="1653"/>
            <w:vAlign w:val="top"/>
          </w:tcPr>
          <w:p>
            <w:pPr>
              <w:spacing w:after="80" w:before="60" w:line="276" w:lineRule="auto"/>
            </w:pPr>
            <w:r>
              <w:rPr>
                <w:sz w:val="18"/>
              </w:rPr>
              <w:t>如何实现计算或存储</w:t>
            </w:r>
          </w:p>
        </w:tc>
        <w:tc>
          <w:tcPr>
            <w:tcW w:type="dxa" w:w="4609"/>
            <w:vAlign w:val="top"/>
          </w:tcPr>
          <w:p>
            <w:pPr>
              <w:spacing w:after="80" w:before="60" w:line="276" w:lineRule="auto"/>
            </w:pPr>
            <w:r>
              <w:rPr>
                <w:sz w:val="18"/>
              </w:rPr>
              <w:t>逻辑、SRAM、DRAM、NAND、光子和功率器件</w:t>
            </w:r>
          </w:p>
        </w:tc>
        <w:tc>
          <w:tcPr>
            <w:tcW w:type="dxa" w:w="2514"/>
            <w:vAlign w:val="top"/>
          </w:tcPr>
          <w:p>
            <w:pPr>
              <w:spacing w:after="80" w:before="60" w:line="276" w:lineRule="auto"/>
            </w:pPr>
            <w:r>
              <w:rPr>
                <w:sz w:val="18"/>
              </w:rPr>
              <w:t>面积、能耗、器件与互连限制</w:t>
            </w:r>
          </w:p>
        </w:tc>
      </w:tr>
      <w:tr>
        <w:trPr>
          <w:cantSplit/>
        </w:trPr>
        <w:tc>
          <w:tcPr>
            <w:tcW w:type="dxa" w:w="1117"/>
            <w:vAlign w:val="top"/>
          </w:tcPr>
          <w:p>
            <w:pPr>
              <w:spacing w:after="80" w:before="60" w:line="276" w:lineRule="auto"/>
            </w:pPr>
            <w:r>
              <w:rPr>
                <w:sz w:val="18"/>
              </w:rPr>
              <w:t>晶圆制造</w:t>
            </w:r>
          </w:p>
        </w:tc>
        <w:tc>
          <w:tcPr>
            <w:tcW w:type="dxa" w:w="1653"/>
            <w:vAlign w:val="top"/>
          </w:tcPr>
          <w:p>
            <w:pPr>
              <w:spacing w:after="80" w:before="60" w:line="276" w:lineRule="auto"/>
            </w:pPr>
            <w:r>
              <w:rPr>
                <w:sz w:val="18"/>
              </w:rPr>
              <w:t>怎样重复形成目标结构</w:t>
            </w:r>
          </w:p>
        </w:tc>
        <w:tc>
          <w:tcPr>
            <w:tcW w:type="dxa" w:w="4609"/>
            <w:vAlign w:val="top"/>
          </w:tcPr>
          <w:p>
            <w:pPr>
              <w:spacing w:after="80" w:before="60" w:line="276" w:lineRule="auto"/>
            </w:pPr>
            <w:r>
              <w:rPr>
                <w:sz w:val="18"/>
              </w:rPr>
              <w:t>晶圆、掩模、光刻、沉积、刻蚀、CMP、检测</w:t>
            </w:r>
          </w:p>
        </w:tc>
        <w:tc>
          <w:tcPr>
            <w:tcW w:type="dxa" w:w="2514"/>
            <w:vAlign w:val="top"/>
          </w:tcPr>
          <w:p>
            <w:pPr>
              <w:spacing w:after="80" w:before="60" w:line="276" w:lineRule="auto"/>
            </w:pPr>
            <w:r>
              <w:rPr>
                <w:sz w:val="18"/>
              </w:rPr>
              <w:t>工艺窗口、缺陷、设备利用率</w:t>
            </w:r>
          </w:p>
        </w:tc>
      </w:tr>
      <w:tr>
        <w:trPr>
          <w:cantSplit/>
        </w:trPr>
        <w:tc>
          <w:tcPr>
            <w:tcW w:type="dxa" w:w="1117"/>
            <w:vAlign w:val="top"/>
          </w:tcPr>
          <w:p>
            <w:pPr>
              <w:spacing w:after="80" w:before="60" w:line="276" w:lineRule="auto"/>
            </w:pPr>
            <w:r>
              <w:rPr>
                <w:sz w:val="18"/>
              </w:rPr>
              <w:t>材料与子系统</w:t>
            </w:r>
          </w:p>
        </w:tc>
        <w:tc>
          <w:tcPr>
            <w:tcW w:type="dxa" w:w="1653"/>
            <w:vAlign w:val="top"/>
          </w:tcPr>
          <w:p>
            <w:pPr>
              <w:spacing w:after="80" w:before="60" w:line="276" w:lineRule="auto"/>
            </w:pPr>
            <w:r>
              <w:rPr>
                <w:sz w:val="18"/>
              </w:rPr>
              <w:t>工艺为何能稳定重复</w:t>
            </w:r>
          </w:p>
        </w:tc>
        <w:tc>
          <w:tcPr>
            <w:tcW w:type="dxa" w:w="4609"/>
            <w:vAlign w:val="top"/>
          </w:tcPr>
          <w:p>
            <w:pPr>
              <w:spacing w:after="80" w:before="60" w:line="276" w:lineRule="auto"/>
            </w:pPr>
            <w:r>
              <w:rPr>
                <w:sz w:val="18"/>
              </w:rPr>
              <w:t>高纯气体、前驱体、光刻胶、靶材、真空/RF/阀门</w:t>
            </w:r>
          </w:p>
        </w:tc>
        <w:tc>
          <w:tcPr>
            <w:tcW w:type="dxa" w:w="2514"/>
            <w:vAlign w:val="top"/>
          </w:tcPr>
          <w:p>
            <w:pPr>
              <w:spacing w:after="80" w:before="60" w:line="276" w:lineRule="auto"/>
            </w:pPr>
            <w:r>
              <w:rPr>
                <w:sz w:val="18"/>
              </w:rPr>
              <w:t>纯度、均匀性、颗粒、寿命与认证</w:t>
            </w:r>
          </w:p>
        </w:tc>
      </w:tr>
    </w:tbl>
    <w:p>
      <w:pPr>
        <w:spacing w:after="0"/>
      </w:pPr>
    </w:p>
    <w:p>
      <w:pPr/>
      <w:r>
        <w:t>本表是对正文的索引与分析分类；具体产品能力分别见能源、网络、存储、制造、材料和封测章节，不将类别共存推断为直接供货。</w:t>
      </w:r>
    </w:p>
    <w:p>
      <w:pPr>
        <w:pStyle w:val="Heading2"/>
      </w:pPr>
      <w:r>
        <w:t>一套可核算的示例</w:t>
      </w:r>
    </w:p>
    <w:p>
      <w:pPr/>
      <w:r>
        <w:t>以下全部是</w:t>
      </w:r>
      <w:r>
        <w:rPr>
          <w:b/>
        </w:rPr>
        <w:t>教学假设，不是项目报价或市场预测</w:t>
      </w:r>
      <w:r>
        <w:t>：一座数据中心有 10 MW IT 负载，以每机架 100 kW 折算为 100 个功率等效机架；实际计算机架数量还取决于网络、存储、CPU 与功率预留。若全年满功率运行、PUE 为 1.20，设施输入为 12 MW，年用电 105.12 GWh。电价每上涨 0.01 美元/kWh，年度电费增加约 105.12 万美元。这里 PUE 的分母是 IT 能耗，不是 GPU 单独能耗。</w:t>
      </w:r>
    </w:p>
    <w:p>
      <w:pPr/>
      <w:r>
        <w:t>再假设每个计算机架 72 个加速器、每加速器 8 个 HBM 堆栈，则每架需要 576 个 HBM 堆栈；若每堆栈 12 个 DRAM die，则为 6,912 个 DRAM die，尚未计底座 die、冗余和良率损耗。封装 die 需求不能直接换算成晶圆需求，还需 die 面积、每片可切 die、KGD 良率与组装良率。这个算法展示“连接比例”怎样将系统规模传导到封装材料和设备，数字不是特定产品的已核实配置。</w:t>
      </w:r>
    </w:p>
    <w:p>
      <w:pPr/>
      <w:r>
        <w:t>可售 token 的教学公式为：年度有效产出 = 实测每秒合格输出 × 可运行秒数 × 真实利用率。年度单位成本 = 年化资本成本、电费、运维、网络、软件与融资成本之和 / 有效产出。合格输出必须满足模型质量、延迟和可用性要求；不能把电源铭牌、理论 FLOPS 或标称端口速率直接代入产出。</w:t>
      </w:r>
      <w:hyperlink r:id="rId46">
        <w:r>
          <w:rPr>
            <w:color w:val="4338CA"/>
          </w:rPr>
          <w:t>[R012]</w:t>
        </w:r>
      </w:hyperlink>
      <w:hyperlink r:id="rId14">
        <w:r>
          <w:rPr>
            <w:color w:val="4338CA"/>
          </w:rPr>
          <w:t>[R020]</w:t>
        </w:r>
      </w:hyperlink>
    </w:p>
    <w:p>
      <w:pPr>
        <w:pStyle w:val="Heading1"/>
        <w:pageBreakBefore/>
      </w:pPr>
      <w:r>
        <w:t>01A  NAND 的工艺、材料和设备怎样衔接</w:t>
      </w:r>
    </w:p>
    <w:p>
      <w:pPr>
        <w:pStyle w:val="Heading2"/>
      </w:pPr>
      <w:r>
        <w:t>先理解 cell 电荷改变可读取的状态</w:t>
      </w:r>
    </w:p>
    <w:p>
      <w:pPr/>
      <w:r>
        <w:t>现代电荷捕获型 3D NAND 的一条垂直 string，沿沟道排列多个受字线控制的 cell。读操作辨别阈值状态，编程/擦除改变存储电荷。TLC 是每 cell 3 bit，QLC 是 4 bit；对应更多可区分状态，不是把同一层简单切成更多独立小芯片。电荷保持、擦写退化与 cell 间干扰因此成为材料和算法共同承担的问题。</w:t>
      </w:r>
      <w:hyperlink r:id="rId47">
        <w:r>
          <w:rPr>
            <w:color w:val="4338CA"/>
          </w:rPr>
          <w:t>[S011]</w:t>
        </w:r>
      </w:hyperlink>
      <w:hyperlink r:id="rId48">
        <w:r>
          <w:rPr>
            <w:color w:val="4338CA"/>
          </w:rPr>
          <w:t>[S012]</w:t>
        </w:r>
      </w:hyperlink>
    </w:p>
    <w:p>
      <w:pPr/>
      <w:r>
        <w:t>公开器件研究把 tunnel/trap/blocking/channel 层分别作为可靠性优化对象：薄膜缺陷会影响漏电、俘获和释放；局部几何与电场会改变编程表现。必须区分论文器件改善、厂商工艺导入和批量可靠性认证，不能从一篇新材料论文直接推导量产替代。</w:t>
      </w:r>
      <w:hyperlink r:id="rId48">
        <w:r>
          <w:rPr>
            <w:color w:val="4338CA"/>
          </w:rPr>
          <w:t>[S012]</w:t>
        </w:r>
      </w:hyperlink>
      <w:hyperlink r:id="rId49">
        <w:r>
          <w:rPr>
            <w:color w:val="4338CA"/>
          </w:rPr>
          <w:t>[S058]</w:t>
        </w:r>
      </w:hyperlink>
    </w:p>
    <w:p>
      <w:pPr>
        <w:pStyle w:val="Heading2"/>
      </w:pPr>
      <w:r>
        <w:t>典型 replacement-gate 路线的工序图谱</w:t>
      </w:r>
    </w:p>
    <w:p>
      <w:pPr/>
      <w:r>
        <w:t>本表概括一种有代表性的路线，各家材料顺序、腔室与分段策略不同；每一行是设备厂可以争取的工艺位置，不是某个客户已公开的完整 BOM。</w:t>
      </w:r>
    </w:p>
    <w:tbl>
      <w:tblPr>
        <w:tblW w:type="auto" w:w="0"/>
        <w:jc w:val="center"/>
        <w:tblLayout w:type="fixed"/>
        <w:tblLook w:firstColumn="1" w:firstRow="1" w:lastColumn="0" w:lastRow="0" w:noHBand="0" w:noVBand="1" w:val="04A0"/>
      </w:tblPr>
      <w:tblGrid>
        <w:gridCol w:w="1027"/>
        <w:gridCol w:w="2167"/>
        <w:gridCol w:w="3546"/>
        <w:gridCol w:w="3152"/>
      </w:tblGrid>
      <w:tr>
        <w:trPr>
          <w:tblHeader/>
        </w:trPr>
        <w:tc>
          <w:tcPr>
            <w:tcW w:type="dxa" w:w="1027"/>
            <w:vAlign w:val="top"/>
            <w:shd w:fill="E0E7FF"/>
          </w:tcPr>
          <w:p>
            <w:pPr>
              <w:spacing w:after="80" w:before="60" w:line="276" w:lineRule="auto"/>
            </w:pPr>
            <w:r>
              <w:rPr>
                <w:b/>
                <w:sz w:val="18"/>
              </w:rPr>
              <w:t>工序</w:t>
            </w:r>
          </w:p>
        </w:tc>
        <w:tc>
          <w:tcPr>
            <w:tcW w:type="dxa" w:w="2167"/>
            <w:vAlign w:val="top"/>
            <w:shd w:fill="E0E7FF"/>
          </w:tcPr>
          <w:p>
            <w:pPr>
              <w:spacing w:after="80" w:before="60" w:line="276" w:lineRule="auto"/>
            </w:pPr>
            <w:r>
              <w:rPr>
                <w:b/>
                <w:sz w:val="18"/>
              </w:rPr>
              <w:t>要解决的问题</w:t>
            </w:r>
          </w:p>
        </w:tc>
        <w:tc>
          <w:tcPr>
            <w:tcW w:type="dxa" w:w="3546"/>
            <w:vAlign w:val="top"/>
            <w:shd w:fill="E0E7FF"/>
          </w:tcPr>
          <w:p>
            <w:pPr>
              <w:spacing w:after="80" w:before="60" w:line="276" w:lineRule="auto"/>
            </w:pPr>
            <w:r>
              <w:rPr>
                <w:b/>
                <w:sz w:val="18"/>
              </w:rPr>
              <w:t>设备与材料能力</w:t>
            </w:r>
          </w:p>
        </w:tc>
        <w:tc>
          <w:tcPr>
            <w:tcW w:type="dxa" w:w="3152"/>
            <w:vAlign w:val="top"/>
            <w:shd w:fill="E0E7FF"/>
          </w:tcPr>
          <w:p>
            <w:pPr>
              <w:spacing w:after="80" w:before="60" w:line="276" w:lineRule="auto"/>
            </w:pPr>
            <w:r>
              <w:rPr>
                <w:b/>
                <w:sz w:val="18"/>
              </w:rPr>
              <w:t>壁垒及应检查的量</w:t>
            </w:r>
          </w:p>
        </w:tc>
      </w:tr>
      <w:tr>
        <w:trPr>
          <w:cantSplit/>
        </w:trPr>
        <w:tc>
          <w:tcPr>
            <w:tcW w:type="dxa" w:w="1027"/>
            <w:vAlign w:val="top"/>
          </w:tcPr>
          <w:p>
            <w:pPr>
              <w:spacing w:after="80" w:before="60" w:line="276" w:lineRule="auto"/>
            </w:pPr>
            <w:r>
              <w:rPr>
                <w:sz w:val="18"/>
              </w:rPr>
              <w:t>交替堆积绝缘/牺牲层</w:t>
            </w:r>
          </w:p>
        </w:tc>
        <w:tc>
          <w:tcPr>
            <w:tcW w:type="dxa" w:w="2167"/>
            <w:vAlign w:val="top"/>
          </w:tcPr>
          <w:p>
            <w:pPr>
              <w:spacing w:after="80" w:before="60" w:line="276" w:lineRule="auto"/>
            </w:pPr>
            <w:r>
              <w:rPr>
                <w:sz w:val="18"/>
              </w:rPr>
              <w:t>形成高而均匀的多层结构</w:t>
            </w:r>
          </w:p>
        </w:tc>
        <w:tc>
          <w:tcPr>
            <w:tcW w:type="dxa" w:w="3546"/>
            <w:vAlign w:val="top"/>
          </w:tcPr>
          <w:p>
            <w:pPr>
              <w:spacing w:after="80" w:before="60" w:line="276" w:lineRule="auto"/>
            </w:pPr>
            <w:r>
              <w:rPr>
                <w:sz w:val="18"/>
              </w:rPr>
              <w:t>CVD/PECVD；SiO₂ 与 SiN 等膜层；Lam 公布有 Ox/SiN 层控与应力管理方案。</w:t>
            </w:r>
            <w:hyperlink r:id="rId50">
              <w:r>
                <w:rPr>
                  <w:color w:val="4338CA"/>
                </w:rPr>
                <w:t>[S005]</w:t>
              </w:r>
            </w:hyperlink>
          </w:p>
        </w:tc>
        <w:tc>
          <w:tcPr>
            <w:tcW w:type="dxa" w:w="3152"/>
            <w:vAlign w:val="top"/>
          </w:tcPr>
          <w:p>
            <w:pPr>
              <w:spacing w:after="80" w:before="60" w:line="276" w:lineRule="auto"/>
            </w:pPr>
            <w:r>
              <w:rPr>
                <w:sz w:val="18"/>
              </w:rPr>
              <w:t>厚度与成分跨片/跨层一致性、沉积速率、晶圆弯曲、颗粒。</w:t>
            </w:r>
            <w:hyperlink r:id="rId28">
              <w:r>
                <w:rPr>
                  <w:color w:val="4338CA"/>
                </w:rPr>
                <w:t>[S008]</w:t>
              </w:r>
            </w:hyperlink>
          </w:p>
        </w:tc>
      </w:tr>
      <w:tr>
        <w:trPr>
          <w:cantSplit/>
        </w:trPr>
        <w:tc>
          <w:tcPr>
            <w:tcW w:type="dxa" w:w="1027"/>
            <w:vAlign w:val="top"/>
          </w:tcPr>
          <w:p>
            <w:pPr>
              <w:spacing w:after="80" w:before="60" w:line="276" w:lineRule="auto"/>
            </w:pPr>
            <w:r>
              <w:rPr>
                <w:sz w:val="18"/>
              </w:rPr>
              <w:t>光刻、硬掩模与通孔刻蚀</w:t>
            </w:r>
          </w:p>
        </w:tc>
        <w:tc>
          <w:tcPr>
            <w:tcW w:type="dxa" w:w="2167"/>
            <w:vAlign w:val="top"/>
          </w:tcPr>
          <w:p>
            <w:pPr>
              <w:spacing w:after="80" w:before="60" w:line="276" w:lineRule="auto"/>
            </w:pPr>
            <w:r>
              <w:rPr>
                <w:sz w:val="18"/>
              </w:rPr>
              <w:t>在高堆叠中打出细而直的 channel hole</w:t>
            </w:r>
          </w:p>
        </w:tc>
        <w:tc>
          <w:tcPr>
            <w:tcW w:type="dxa" w:w="3546"/>
            <w:vAlign w:val="top"/>
          </w:tcPr>
          <w:p>
            <w:pPr>
              <w:spacing w:after="80" w:before="60" w:line="276" w:lineRule="auto"/>
            </w:pPr>
            <w:r>
              <w:rPr>
                <w:sz w:val="18"/>
              </w:rPr>
              <w:t>高选择比硬掩模、等离子体介质刻蚀、低温化学与脉冲控制；Lam、TEL 是有公开技术披露的代表。</w:t>
            </w:r>
            <w:hyperlink r:id="rId33">
              <w:r>
                <w:rPr>
                  <w:color w:val="4338CA"/>
                </w:rPr>
                <w:t>[S004]</w:t>
              </w:r>
            </w:hyperlink>
            <w:hyperlink r:id="rId50">
              <w:r>
                <w:rPr>
                  <w:color w:val="4338CA"/>
                </w:rPr>
                <w:t>[S005]</w:t>
              </w:r>
            </w:hyperlink>
          </w:p>
        </w:tc>
        <w:tc>
          <w:tcPr>
            <w:tcW w:type="dxa" w:w="3152"/>
            <w:vAlign w:val="top"/>
          </w:tcPr>
          <w:p>
            <w:pPr>
              <w:spacing w:after="80" w:before="60" w:line="276" w:lineRule="auto"/>
            </w:pPr>
            <w:r>
              <w:rPr>
                <w:sz w:val="18"/>
              </w:rPr>
              <w:t>底部能否贯通、侧壁形貌、孔径与扭曲、掩模损耗、处理时间。</w:t>
            </w:r>
          </w:p>
        </w:tc>
      </w:tr>
      <w:tr>
        <w:trPr>
          <w:cantSplit/>
        </w:trPr>
        <w:tc>
          <w:tcPr>
            <w:tcW w:type="dxa" w:w="1027"/>
            <w:vAlign w:val="top"/>
          </w:tcPr>
          <w:p>
            <w:pPr>
              <w:spacing w:after="80" w:before="60" w:line="276" w:lineRule="auto"/>
            </w:pPr>
            <w:r>
              <w:rPr>
                <w:sz w:val="18"/>
              </w:rPr>
              <w:t>形成沟道和存储介质</w:t>
            </w:r>
          </w:p>
        </w:tc>
        <w:tc>
          <w:tcPr>
            <w:tcW w:type="dxa" w:w="2167"/>
            <w:vAlign w:val="top"/>
          </w:tcPr>
          <w:p>
            <w:pPr>
              <w:spacing w:after="80" w:before="60" w:line="276" w:lineRule="auto"/>
            </w:pPr>
            <w:r>
              <w:rPr>
                <w:sz w:val="18"/>
              </w:rPr>
              <w:t>让孔顶到底的 cell 尽可能一致</w:t>
            </w:r>
          </w:p>
        </w:tc>
        <w:tc>
          <w:tcPr>
            <w:tcW w:type="dxa" w:w="3546"/>
            <w:vAlign w:val="top"/>
          </w:tcPr>
          <w:p>
            <w:pPr>
              <w:spacing w:after="80" w:before="60" w:line="276" w:lineRule="auto"/>
            </w:pPr>
            <w:r>
              <w:rPr>
                <w:sz w:val="18"/>
              </w:rPr>
              <w:t>共形薄膜沉积；隧穿、俘获、阻挡层及 poly-Si channel；更深结构要求前驱体充分到达底部。</w:t>
            </w:r>
            <w:hyperlink r:id="rId27">
              <w:r>
                <w:rPr>
                  <w:color w:val="4338CA"/>
                </w:rPr>
                <w:t>[S002]</w:t>
              </w:r>
            </w:hyperlink>
            <w:hyperlink r:id="rId28">
              <w:r>
                <w:rPr>
                  <w:color w:val="4338CA"/>
                </w:rPr>
                <w:t>[S008]</w:t>
              </w:r>
            </w:hyperlink>
          </w:p>
        </w:tc>
        <w:tc>
          <w:tcPr>
            <w:tcW w:type="dxa" w:w="3152"/>
            <w:vAlign w:val="top"/>
          </w:tcPr>
          <w:p>
            <w:pPr>
              <w:spacing w:after="80" w:before="60" w:line="276" w:lineRule="auto"/>
            </w:pPr>
            <w:r>
              <w:rPr>
                <w:sz w:val="18"/>
              </w:rPr>
              <w:t>台阶覆盖、界面缺陷、污染、阈值分布、保持与耐久。</w:t>
            </w:r>
          </w:p>
        </w:tc>
      </w:tr>
      <w:tr>
        <w:trPr>
          <w:cantSplit/>
        </w:trPr>
        <w:tc>
          <w:tcPr>
            <w:tcW w:type="dxa" w:w="1027"/>
            <w:vAlign w:val="top"/>
          </w:tcPr>
          <w:p>
            <w:pPr>
              <w:spacing w:after="80" w:before="60" w:line="276" w:lineRule="auto"/>
            </w:pPr>
            <w:r>
              <w:rPr>
                <w:sz w:val="18"/>
              </w:rPr>
              <w:t>阶梯和 slit 加工</w:t>
            </w:r>
          </w:p>
        </w:tc>
        <w:tc>
          <w:tcPr>
            <w:tcW w:type="dxa" w:w="2167"/>
            <w:vAlign w:val="top"/>
          </w:tcPr>
          <w:p>
            <w:pPr>
              <w:spacing w:after="80" w:before="60" w:line="276" w:lineRule="auto"/>
            </w:pPr>
            <w:r>
              <w:rPr>
                <w:sz w:val="18"/>
              </w:rPr>
              <w:t>将不同高度的字线分别接出来并提供工艺通道</w:t>
            </w:r>
          </w:p>
        </w:tc>
        <w:tc>
          <w:tcPr>
            <w:tcW w:type="dxa" w:w="3546"/>
            <w:vAlign w:val="top"/>
          </w:tcPr>
          <w:p>
            <w:pPr>
              <w:spacing w:after="80" w:before="60" w:line="276" w:lineRule="auto"/>
            </w:pPr>
            <w:r>
              <w:rPr>
                <w:sz w:val="18"/>
              </w:rPr>
              <w:t>阶梯图形化、轮廓控制、填充；Applied 公布 Sym3 阶梯刻蚀与 PE-HARP 介质填充。</w:t>
            </w:r>
            <w:hyperlink r:id="rId27">
              <w:r>
                <w:rPr>
                  <w:color w:val="4338CA"/>
                </w:rPr>
                <w:t>[S002]</w:t>
              </w:r>
            </w:hyperlink>
          </w:p>
        </w:tc>
        <w:tc>
          <w:tcPr>
            <w:tcW w:type="dxa" w:w="3152"/>
            <w:vAlign w:val="top"/>
          </w:tcPr>
          <w:p>
            <w:pPr>
              <w:spacing w:after="80" w:before="60" w:line="276" w:lineRule="auto"/>
            </w:pPr>
            <w:r>
              <w:rPr>
                <w:sz w:val="18"/>
              </w:rPr>
              <w:t>阶梯占地、接触对准、跨片 CD 一致性、空洞与应力。</w:t>
            </w:r>
          </w:p>
        </w:tc>
      </w:tr>
      <w:tr>
        <w:trPr>
          <w:cantSplit/>
        </w:trPr>
        <w:tc>
          <w:tcPr>
            <w:tcW w:type="dxa" w:w="1027"/>
            <w:vAlign w:val="top"/>
          </w:tcPr>
          <w:p>
            <w:pPr>
              <w:spacing w:after="80" w:before="60" w:line="276" w:lineRule="auto"/>
            </w:pPr>
            <w:r>
              <w:rPr>
                <w:sz w:val="18"/>
              </w:rPr>
              <w:t>移除牺牲 SiN</w:t>
            </w:r>
          </w:p>
        </w:tc>
        <w:tc>
          <w:tcPr>
            <w:tcW w:type="dxa" w:w="2167"/>
            <w:vAlign w:val="top"/>
          </w:tcPr>
          <w:p>
            <w:pPr>
              <w:spacing w:after="80" w:before="60" w:line="276" w:lineRule="auto"/>
            </w:pPr>
            <w:r>
              <w:rPr>
                <w:sz w:val="18"/>
              </w:rPr>
              <w:t>在保持氧化层和脆弱结构的同时留下字线空间</w:t>
            </w:r>
          </w:p>
        </w:tc>
        <w:tc>
          <w:tcPr>
            <w:tcW w:type="dxa" w:w="3546"/>
            <w:vAlign w:val="top"/>
          </w:tcPr>
          <w:p>
            <w:pPr>
              <w:spacing w:after="80" w:before="60" w:line="276" w:lineRule="auto"/>
            </w:pPr>
            <w:r>
              <w:rPr>
                <w:sz w:val="18"/>
              </w:rPr>
              <w:t>高选择性湿法/化学刻蚀；传统热磷酸体系及配方优化。</w:t>
            </w:r>
            <w:hyperlink r:id="rId35">
              <w:r>
                <w:rPr>
                  <w:color w:val="4338CA"/>
                </w:rPr>
                <w:t>[S009]</w:t>
              </w:r>
            </w:hyperlink>
          </w:p>
        </w:tc>
        <w:tc>
          <w:tcPr>
            <w:tcW w:type="dxa" w:w="3152"/>
            <w:vAlign w:val="top"/>
          </w:tcPr>
          <w:p>
            <w:pPr>
              <w:spacing w:after="80" w:before="60" w:line="276" w:lineRule="auto"/>
            </w:pPr>
            <w:r>
              <w:rPr>
                <w:sz w:val="18"/>
              </w:rPr>
              <w:t>深处去除充分性、SiO₂ 再沉积、残留、槽液寿命和缺陷。</w:t>
            </w:r>
          </w:p>
        </w:tc>
      </w:tr>
      <w:tr>
        <w:trPr>
          <w:cantSplit/>
        </w:trPr>
        <w:tc>
          <w:tcPr>
            <w:tcW w:type="dxa" w:w="1027"/>
            <w:vAlign w:val="top"/>
          </w:tcPr>
          <w:p>
            <w:pPr>
              <w:spacing w:after="80" w:before="60" w:line="276" w:lineRule="auto"/>
            </w:pPr>
            <w:r>
              <w:rPr>
                <w:sz w:val="18"/>
              </w:rPr>
              <w:t>字线金属及连接填充</w:t>
            </w:r>
          </w:p>
        </w:tc>
        <w:tc>
          <w:tcPr>
            <w:tcW w:type="dxa" w:w="2167"/>
            <w:vAlign w:val="top"/>
          </w:tcPr>
          <w:p>
            <w:pPr>
              <w:spacing w:after="80" w:before="60" w:line="276" w:lineRule="auto"/>
            </w:pPr>
            <w:r>
              <w:rPr>
                <w:sz w:val="18"/>
              </w:rPr>
              <w:t>在狭窄空间获得低阻且连续的导体</w:t>
            </w:r>
          </w:p>
        </w:tc>
        <w:tc>
          <w:tcPr>
            <w:tcW w:type="dxa" w:w="3546"/>
            <w:vAlign w:val="top"/>
          </w:tcPr>
          <w:p>
            <w:pPr>
              <w:spacing w:after="80" w:before="60" w:line="276" w:lineRule="auto"/>
            </w:pPr>
            <w:r>
              <w:rPr>
                <w:sz w:val="18"/>
              </w:rPr>
              <w:t>W 沉积/填充；Mo 字线相关沉积与选择性刻蚀也在推进；并非所有产品均使用同一种金属。</w:t>
            </w:r>
            <w:hyperlink r:id="rId50">
              <w:r>
                <w:rPr>
                  <w:color w:val="4338CA"/>
                </w:rPr>
                <w:t>[S005]</w:t>
              </w:r>
            </w:hyperlink>
            <w:hyperlink r:id="rId34">
              <w:r>
                <w:rPr>
                  <w:color w:val="4338CA"/>
                </w:rPr>
                <w:t>[S006]</w:t>
              </w:r>
            </w:hyperlink>
          </w:p>
        </w:tc>
        <w:tc>
          <w:tcPr>
            <w:tcW w:type="dxa" w:w="3152"/>
            <w:vAlign w:val="top"/>
          </w:tcPr>
          <w:p>
            <w:pPr>
              <w:spacing w:after="80" w:before="60" w:line="276" w:lineRule="auto"/>
            </w:pPr>
            <w:r>
              <w:rPr>
                <w:sz w:val="18"/>
              </w:rPr>
              <w:t>薄膜电阻、空洞、夹气、晶圆应力、相邻字线短路。</w:t>
            </w:r>
          </w:p>
        </w:tc>
      </w:tr>
      <w:tr>
        <w:trPr>
          <w:cantSplit/>
        </w:trPr>
        <w:tc>
          <w:tcPr>
            <w:tcW w:type="dxa" w:w="1027"/>
            <w:vAlign w:val="top"/>
          </w:tcPr>
          <w:p>
            <w:pPr>
              <w:spacing w:after="80" w:before="60" w:line="276" w:lineRule="auto"/>
            </w:pPr>
            <w:r>
              <w:rPr>
                <w:sz w:val="18"/>
              </w:rPr>
              <w:t>阵列与外围集成</w:t>
            </w:r>
          </w:p>
        </w:tc>
        <w:tc>
          <w:tcPr>
            <w:tcW w:type="dxa" w:w="2167"/>
            <w:vAlign w:val="top"/>
          </w:tcPr>
          <w:p>
            <w:pPr>
              <w:spacing w:after="80" w:before="60" w:line="276" w:lineRule="auto"/>
            </w:pPr>
            <w:r>
              <w:rPr>
                <w:sz w:val="18"/>
              </w:rPr>
              <w:t>让外围驱动、感测和 I/O 不占用过多阵列平面</w:t>
            </w:r>
          </w:p>
        </w:tc>
        <w:tc>
          <w:tcPr>
            <w:tcW w:type="dxa" w:w="3546"/>
            <w:vAlign w:val="top"/>
          </w:tcPr>
          <w:p>
            <w:pPr>
              <w:spacing w:after="80" w:before="60" w:line="276" w:lineRule="auto"/>
            </w:pPr>
            <w:r>
              <w:rPr>
                <w:sz w:val="18"/>
              </w:rPr>
              <w:t>CuA 或分开制造后键合的 CBA/Xtacking 等；键合前需极平整表面和精密对准。</w:t>
            </w:r>
            <w:hyperlink r:id="rId25">
              <w:r>
                <w:rPr>
                  <w:color w:val="4338CA"/>
                </w:rPr>
                <w:t>[S003]</w:t>
              </w:r>
            </w:hyperlink>
            <w:hyperlink r:id="rId26">
              <w:r>
                <w:rPr>
                  <w:color w:val="4338CA"/>
                </w:rPr>
                <w:t>[S007]</w:t>
              </w:r>
            </w:hyperlink>
          </w:p>
        </w:tc>
        <w:tc>
          <w:tcPr>
            <w:tcW w:type="dxa" w:w="3152"/>
            <w:vAlign w:val="top"/>
          </w:tcPr>
          <w:p>
            <w:pPr>
              <w:spacing w:after="80" w:before="60" w:line="276" w:lineRule="auto"/>
            </w:pPr>
            <w:r>
              <w:rPr>
                <w:sz w:val="18"/>
              </w:rPr>
              <w:t>键合缺陷、接点开短路、两类晶圆的良率匹配和热预算。</w:t>
            </w:r>
          </w:p>
        </w:tc>
      </w:tr>
      <w:tr>
        <w:trPr>
          <w:cantSplit/>
        </w:trPr>
        <w:tc>
          <w:tcPr>
            <w:tcW w:type="dxa" w:w="1027"/>
            <w:vAlign w:val="top"/>
          </w:tcPr>
          <w:p>
            <w:pPr>
              <w:spacing w:after="80" w:before="60" w:line="276" w:lineRule="auto"/>
            </w:pPr>
            <w:r>
              <w:rPr>
                <w:sz w:val="18"/>
              </w:rPr>
              <w:t>封装与产品化</w:t>
            </w:r>
          </w:p>
        </w:tc>
        <w:tc>
          <w:tcPr>
            <w:tcW w:type="dxa" w:w="2167"/>
            <w:vAlign w:val="top"/>
          </w:tcPr>
          <w:p>
            <w:pPr>
              <w:spacing w:after="80" w:before="60" w:line="276" w:lineRule="auto"/>
            </w:pPr>
            <w:r>
              <w:rPr>
                <w:sz w:val="18"/>
              </w:rPr>
              <w:t>把裸片容量变成可以交付的接口与可靠性</w:t>
            </w:r>
          </w:p>
        </w:tc>
        <w:tc>
          <w:tcPr>
            <w:tcW w:type="dxa" w:w="3546"/>
            <w:vAlign w:val="top"/>
          </w:tcPr>
          <w:p>
            <w:pPr>
              <w:spacing w:after="80" w:before="60" w:line="276" w:lineRule="auto"/>
            </w:pPr>
            <w:r>
              <w:rPr>
                <w:sz w:val="18"/>
              </w:rPr>
              <w:t>多 die 封装、控制器固件、纠错和整盘验证。</w:t>
            </w:r>
            <w:hyperlink r:id="rId30">
              <w:r>
                <w:rPr>
                  <w:color w:val="4338CA"/>
                </w:rPr>
                <w:t>[S068]</w:t>
              </w:r>
            </w:hyperlink>
            <w:hyperlink r:id="rId17">
              <w:r>
                <w:rPr>
                  <w:color w:val="4338CA"/>
                </w:rPr>
                <w:t>[S017]</w:t>
              </w:r>
            </w:hyperlink>
            <w:hyperlink r:id="rId23">
              <w:r>
                <w:rPr>
                  <w:color w:val="4338CA"/>
                </w:rPr>
                <w:t>[S019]</w:t>
              </w:r>
            </w:hyperlink>
          </w:p>
        </w:tc>
        <w:tc>
          <w:tcPr>
            <w:tcW w:type="dxa" w:w="3152"/>
            <w:vAlign w:val="top"/>
          </w:tcPr>
          <w:p>
            <w:pPr>
              <w:spacing w:after="80" w:before="60" w:line="276" w:lineRule="auto"/>
            </w:pPr>
            <w:r>
              <w:rPr>
                <w:sz w:val="18"/>
              </w:rPr>
              <w:t>每 bit 成本、封装良率、满盘稳态、寿命、客户资格认证。</w:t>
            </w:r>
          </w:p>
        </w:tc>
      </w:tr>
    </w:tbl>
    <w:p>
      <w:pPr>
        <w:spacing w:after="0"/>
      </w:pPr>
    </w:p>
    <w:p>
      <w:pPr/>
      <w:r>
        <w:rPr>
          <w:b/>
        </w:rPr>
        <w:t>高深宽比不是“能挖多深”一个指标。</w:t>
      </w:r>
      <w:r>
        <w:t xml:space="preserve"> TEL 在 2023 年公布针对超过 400 层结构的 10 μm 深孔刻蚀技术，披露的实验时间为 33 分钟；这是技术展示的结构及条件，不能当作全厂每片产能或所有厂商量产水平。投资比较至少要同时取得孔形合格率、wafer/hour、腔室匹配、耗材与维护周期。</w:t>
      </w:r>
      <w:hyperlink r:id="rId33">
        <w:r>
          <w:rPr>
            <w:color w:val="4338CA"/>
          </w:rPr>
          <w:t>[S004]</w:t>
        </w:r>
      </w:hyperlink>
    </w:p>
    <w:p>
      <w:pPr/>
      <w:r>
        <w:rPr>
          <w:b/>
        </w:rPr>
        <w:t>低温刻蚀的作用来自反应与轮廓控制的变化。</w:t>
      </w:r>
      <w:r>
        <w:t xml:space="preserve"> Lam 的公开路线把 cryogenic etch 与字线 pitch、金属化、背面应力补偿并列，显示继续提高堆叠需要多种步骤共同改善。报告采用其产品能力描述，不把“所有领先客户采用”等营销表述直接折算为已验证市场份额。</w:t>
      </w:r>
      <w:hyperlink r:id="rId50">
        <w:r>
          <w:rPr>
            <w:color w:val="4338CA"/>
          </w:rPr>
          <w:t>[S005]</w:t>
        </w:r>
      </w:hyperlink>
    </w:p>
    <w:p>
      <w:pPr/>
      <w:r>
        <w:rPr>
          <w:b/>
        </w:rPr>
        <w:t>还有一种容易混淆的 stack：分段沟道整合。</w:t>
      </w:r>
      <w:r>
        <w:t xml:space="preserve"> Samsung 对 V10 的说明把 3-stack HARC Merge 与阵列/外围 wafer bonding 列为两项独立创新；前者处理高堆叠沟道/工艺整合，后者连接不同功能晶圆。其描述还把孔形、共形薄膜、清洗均匀性和膜应力列为共同约束。这是供应商工艺解释，不等于公开了可复制的完整制程或客户产量。</w:t>
      </w:r>
      <w:hyperlink r:id="rId51">
        <w:r>
          <w:rPr>
            <w:color w:val="4338CA"/>
          </w:rPr>
          <w:t>[S072]</w:t>
        </w:r>
      </w:hyperlink>
    </w:p>
    <w:p>
      <w:pPr>
        <w:pStyle w:val="Heading2"/>
      </w:pPr>
      <w:r>
        <w:t>“隔离电子的材料”到底是哪一种</w:t>
      </w:r>
    </w:p>
    <w:tbl>
      <w:tblPr>
        <w:tblW w:type="auto" w:w="0"/>
        <w:jc w:val="center"/>
        <w:tblLayout w:type="fixed"/>
        <w:tblLook w:firstColumn="1" w:firstRow="1" w:lastColumn="0" w:lastRow="0" w:noHBand="0" w:noVBand="1" w:val="04A0"/>
      </w:tblPr>
      <w:tblGrid>
        <w:gridCol w:w="2038"/>
        <w:gridCol w:w="3099"/>
        <w:gridCol w:w="4755"/>
      </w:tblGrid>
      <w:tr>
        <w:trPr>
          <w:tblHeader/>
        </w:trPr>
        <w:tc>
          <w:tcPr>
            <w:tcW w:type="dxa" w:w="2038"/>
            <w:vAlign w:val="top"/>
            <w:shd w:fill="E0E7FF"/>
          </w:tcPr>
          <w:p>
            <w:pPr>
              <w:spacing w:after="80" w:before="60" w:line="276" w:lineRule="auto"/>
            </w:pPr>
            <w:r>
              <w:rPr>
                <w:b/>
                <w:sz w:val="18"/>
              </w:rPr>
              <w:t>位置/材料</w:t>
            </w:r>
          </w:p>
        </w:tc>
        <w:tc>
          <w:tcPr>
            <w:tcW w:type="dxa" w:w="3099"/>
            <w:vAlign w:val="top"/>
            <w:shd w:fill="E0E7FF"/>
          </w:tcPr>
          <w:p>
            <w:pPr>
              <w:spacing w:after="80" w:before="60" w:line="276" w:lineRule="auto"/>
            </w:pPr>
            <w:r>
              <w:rPr>
                <w:b/>
                <w:sz w:val="18"/>
              </w:rPr>
              <w:t>功能</w:t>
            </w:r>
          </w:p>
        </w:tc>
        <w:tc>
          <w:tcPr>
            <w:tcW w:type="dxa" w:w="4755"/>
            <w:vAlign w:val="top"/>
            <w:shd w:fill="E0E7FF"/>
          </w:tcPr>
          <w:p>
            <w:pPr>
              <w:spacing w:after="80" w:before="60" w:line="276" w:lineRule="auto"/>
            </w:pPr>
            <w:r>
              <w:rPr>
                <w:b/>
                <w:sz w:val="18"/>
              </w:rPr>
              <w:t>最容易产生的误解</w:t>
            </w:r>
          </w:p>
        </w:tc>
      </w:tr>
      <w:tr>
        <w:trPr>
          <w:cantSplit/>
        </w:trPr>
        <w:tc>
          <w:tcPr>
            <w:tcW w:type="dxa" w:w="2038"/>
            <w:vAlign w:val="top"/>
          </w:tcPr>
          <w:p>
            <w:pPr>
              <w:spacing w:after="80" w:before="60" w:line="276" w:lineRule="auto"/>
            </w:pPr>
            <w:r>
              <w:rPr>
                <w:sz w:val="18"/>
              </w:rPr>
              <w:t>相邻字线间的氧化物绝缘层</w:t>
            </w:r>
          </w:p>
        </w:tc>
        <w:tc>
          <w:tcPr>
            <w:tcW w:type="dxa" w:w="3099"/>
            <w:vAlign w:val="top"/>
          </w:tcPr>
          <w:p>
            <w:pPr>
              <w:spacing w:after="80" w:before="60" w:line="276" w:lineRule="auto"/>
            </w:pPr>
            <w:r>
              <w:rPr>
                <w:sz w:val="18"/>
              </w:rPr>
              <w:t>隔开不同导电层，控制结构和电耦合</w:t>
            </w:r>
          </w:p>
        </w:tc>
        <w:tc>
          <w:tcPr>
            <w:tcW w:type="dxa" w:w="4755"/>
            <w:vAlign w:val="top"/>
          </w:tcPr>
          <w:p>
            <w:pPr>
              <w:spacing w:after="80" w:before="60" w:line="276" w:lineRule="auto"/>
            </w:pPr>
            <w:r>
              <w:rPr>
                <w:sz w:val="18"/>
              </w:rPr>
              <w:t>它与 cell 内的隧穿氧化层不是同一工艺位置。</w:t>
            </w:r>
            <w:hyperlink r:id="rId27">
              <w:r>
                <w:rPr>
                  <w:color w:val="4338CA"/>
                </w:rPr>
                <w:t>[S002]</w:t>
              </w:r>
            </w:hyperlink>
            <w:hyperlink r:id="rId47">
              <w:r>
                <w:rPr>
                  <w:color w:val="4338CA"/>
                </w:rPr>
                <w:t>[S011]</w:t>
              </w:r>
            </w:hyperlink>
          </w:p>
        </w:tc>
      </w:tr>
      <w:tr>
        <w:trPr>
          <w:cantSplit/>
        </w:trPr>
        <w:tc>
          <w:tcPr>
            <w:tcW w:type="dxa" w:w="2038"/>
            <w:vAlign w:val="top"/>
          </w:tcPr>
          <w:p>
            <w:pPr>
              <w:spacing w:after="80" w:before="60" w:line="276" w:lineRule="auto"/>
            </w:pPr>
            <w:r>
              <w:rPr>
                <w:sz w:val="18"/>
              </w:rPr>
              <w:t>Tunnel dielectric，隧穿介质，常见 SiO₂/复合氧化体系</w:t>
            </w:r>
          </w:p>
        </w:tc>
        <w:tc>
          <w:tcPr>
            <w:tcW w:type="dxa" w:w="3099"/>
            <w:vAlign w:val="top"/>
          </w:tcPr>
          <w:p>
            <w:pPr>
              <w:spacing w:after="80" w:before="60" w:line="276" w:lineRule="auto"/>
            </w:pPr>
            <w:r>
              <w:rPr>
                <w:sz w:val="18"/>
              </w:rPr>
              <w:t>在编程/擦除条件下允许受控电荷转移，平时兼顾保持</w:t>
            </w:r>
          </w:p>
        </w:tc>
        <w:tc>
          <w:tcPr>
            <w:tcW w:type="dxa" w:w="4755"/>
            <w:vAlign w:val="top"/>
          </w:tcPr>
          <w:p>
            <w:pPr>
              <w:spacing w:after="80" w:before="60" w:line="276" w:lineRule="auto"/>
            </w:pPr>
            <w:r>
              <w:rPr>
                <w:sz w:val="18"/>
              </w:rPr>
              <w:t>“绝缘”不等于所有电场下绝无电荷通过；厚度、缺陷和能带工程是核心。</w:t>
            </w:r>
            <w:hyperlink r:id="rId48">
              <w:r>
                <w:rPr>
                  <w:color w:val="4338CA"/>
                </w:rPr>
                <w:t>[S012]</w:t>
              </w:r>
            </w:hyperlink>
          </w:p>
        </w:tc>
      </w:tr>
      <w:tr>
        <w:trPr>
          <w:cantSplit/>
        </w:trPr>
        <w:tc>
          <w:tcPr>
            <w:tcW w:type="dxa" w:w="2038"/>
            <w:vAlign w:val="top"/>
          </w:tcPr>
          <w:p>
            <w:pPr>
              <w:spacing w:after="80" w:before="60" w:line="276" w:lineRule="auto"/>
            </w:pPr>
            <w:r>
              <w:rPr>
                <w:sz w:val="18"/>
              </w:rPr>
              <w:t>Charge-trap SiN，电荷捕获氮化硅</w:t>
            </w:r>
          </w:p>
        </w:tc>
        <w:tc>
          <w:tcPr>
            <w:tcW w:type="dxa" w:w="3099"/>
            <w:vAlign w:val="top"/>
          </w:tcPr>
          <w:p>
            <w:pPr>
              <w:spacing w:after="80" w:before="60" w:line="276" w:lineRule="auto"/>
            </w:pPr>
            <w:r>
              <w:rPr>
                <w:sz w:val="18"/>
              </w:rPr>
              <w:t>提供俘获电荷的状态，承担存储功能</w:t>
            </w:r>
          </w:p>
        </w:tc>
        <w:tc>
          <w:tcPr>
            <w:tcW w:type="dxa" w:w="4755"/>
            <w:vAlign w:val="top"/>
          </w:tcPr>
          <w:p>
            <w:pPr>
              <w:spacing w:after="80" w:before="60" w:line="276" w:lineRule="auto"/>
            </w:pPr>
            <w:r>
              <w:rPr>
                <w:sz w:val="18"/>
              </w:rPr>
              <w:t>它不是一层只负责分隔的普通绝缘胶，也不是之后必然挖掉的牺牲层。</w:t>
            </w:r>
            <w:hyperlink r:id="rId47">
              <w:r>
                <w:rPr>
                  <w:color w:val="4338CA"/>
                </w:rPr>
                <w:t>[S011]</w:t>
              </w:r>
            </w:hyperlink>
          </w:p>
        </w:tc>
      </w:tr>
      <w:tr>
        <w:trPr>
          <w:cantSplit/>
        </w:trPr>
        <w:tc>
          <w:tcPr>
            <w:tcW w:type="dxa" w:w="2038"/>
            <w:vAlign w:val="top"/>
          </w:tcPr>
          <w:p>
            <w:pPr>
              <w:spacing w:after="80" w:before="60" w:line="276" w:lineRule="auto"/>
            </w:pPr>
            <w:r>
              <w:rPr>
                <w:sz w:val="18"/>
              </w:rPr>
              <w:t>Blocking dielectric，阻挡介质，包括氧化物及高 k 组合</w:t>
            </w:r>
          </w:p>
        </w:tc>
        <w:tc>
          <w:tcPr>
            <w:tcW w:type="dxa" w:w="3099"/>
            <w:vAlign w:val="top"/>
          </w:tcPr>
          <w:p>
            <w:pPr>
              <w:spacing w:after="80" w:before="60" w:line="276" w:lineRule="auto"/>
            </w:pPr>
            <w:r>
              <w:rPr>
                <w:sz w:val="18"/>
              </w:rPr>
              <w:t>限制朝控制栅方向的非期望电荷交换、调整栅耦合</w:t>
            </w:r>
          </w:p>
        </w:tc>
        <w:tc>
          <w:tcPr>
            <w:tcW w:type="dxa" w:w="4755"/>
            <w:vAlign w:val="top"/>
          </w:tcPr>
          <w:p>
            <w:pPr>
              <w:spacing w:after="80" w:before="60" w:line="276" w:lineRule="auto"/>
            </w:pPr>
            <w:r>
              <w:rPr>
                <w:sz w:val="18"/>
              </w:rPr>
              <w:t>高 k 材料出现不代表器件就是 DRAM 电容；要看所在位置和目标。</w:t>
            </w:r>
            <w:hyperlink r:id="rId27">
              <w:r>
                <w:rPr>
                  <w:color w:val="4338CA"/>
                </w:rPr>
                <w:t>[S002]</w:t>
              </w:r>
            </w:hyperlink>
            <w:hyperlink r:id="rId49">
              <w:r>
                <w:rPr>
                  <w:color w:val="4338CA"/>
                </w:rPr>
                <w:t>[S058]</w:t>
              </w:r>
            </w:hyperlink>
          </w:p>
        </w:tc>
      </w:tr>
      <w:tr>
        <w:trPr>
          <w:cantSplit/>
        </w:trPr>
        <w:tc>
          <w:tcPr>
            <w:tcW w:type="dxa" w:w="2038"/>
            <w:vAlign w:val="top"/>
          </w:tcPr>
          <w:p>
            <w:pPr>
              <w:spacing w:after="80" w:before="60" w:line="276" w:lineRule="auto"/>
            </w:pPr>
            <w:r>
              <w:rPr>
                <w:sz w:val="18"/>
              </w:rPr>
              <w:t>Sacrificial SiN，牺牲氮化硅</w:t>
            </w:r>
          </w:p>
        </w:tc>
        <w:tc>
          <w:tcPr>
            <w:tcW w:type="dxa" w:w="3099"/>
            <w:vAlign w:val="top"/>
          </w:tcPr>
          <w:p>
            <w:pPr>
              <w:spacing w:after="80" w:before="60" w:line="276" w:lineRule="auto"/>
            </w:pPr>
            <w:r>
              <w:rPr>
                <w:sz w:val="18"/>
              </w:rPr>
              <w:t>多层模板中后续被选择性去掉，给替换字线留空间</w:t>
            </w:r>
          </w:p>
        </w:tc>
        <w:tc>
          <w:tcPr>
            <w:tcW w:type="dxa" w:w="4755"/>
            <w:vAlign w:val="top"/>
          </w:tcPr>
          <w:p>
            <w:pPr>
              <w:spacing w:after="80" w:before="60" w:line="276" w:lineRule="auto"/>
            </w:pPr>
            <w:r>
              <w:rPr>
                <w:sz w:val="18"/>
              </w:rPr>
              <w:t>与 charge-trap SiN 化学类别相近，工艺使命相反。</w:t>
            </w:r>
            <w:hyperlink r:id="rId35">
              <w:r>
                <w:rPr>
                  <w:color w:val="4338CA"/>
                </w:rPr>
                <w:t>[S009]</w:t>
              </w:r>
            </w:hyperlink>
          </w:p>
        </w:tc>
      </w:tr>
      <w:tr>
        <w:trPr>
          <w:cantSplit/>
        </w:trPr>
        <w:tc>
          <w:tcPr>
            <w:tcW w:type="dxa" w:w="2038"/>
            <w:vAlign w:val="top"/>
          </w:tcPr>
          <w:p>
            <w:pPr>
              <w:spacing w:after="80" w:before="60" w:line="276" w:lineRule="auto"/>
            </w:pPr>
            <w:r>
              <w:rPr>
                <w:sz w:val="18"/>
              </w:rPr>
              <w:t>TiN/W，或推进中的 Mo 金属方案</w:t>
            </w:r>
          </w:p>
        </w:tc>
        <w:tc>
          <w:tcPr>
            <w:tcW w:type="dxa" w:w="3099"/>
            <w:vAlign w:val="top"/>
          </w:tcPr>
          <w:p>
            <w:pPr>
              <w:spacing w:after="80" w:before="60" w:line="276" w:lineRule="auto"/>
            </w:pPr>
            <w:r>
              <w:rPr>
                <w:sz w:val="18"/>
              </w:rPr>
              <w:t>电极、阻挡/衬层、字线与接触等导电任务</w:t>
            </w:r>
          </w:p>
        </w:tc>
        <w:tc>
          <w:tcPr>
            <w:tcW w:type="dxa" w:w="4755"/>
            <w:vAlign w:val="top"/>
          </w:tcPr>
          <w:p>
            <w:pPr>
              <w:spacing w:after="80" w:before="60" w:line="276" w:lineRule="auto"/>
            </w:pPr>
            <w:r>
              <w:rPr>
                <w:sz w:val="18"/>
              </w:rPr>
              <w:t>金属不是“层间电子隔离材料”；导电、扩散阻挡和电荷存储需分开。</w:t>
            </w:r>
            <w:hyperlink r:id="rId27">
              <w:r>
                <w:rPr>
                  <w:color w:val="4338CA"/>
                </w:rPr>
                <w:t>[S002]</w:t>
              </w:r>
            </w:hyperlink>
            <w:hyperlink r:id="rId34">
              <w:r>
                <w:rPr>
                  <w:color w:val="4338CA"/>
                </w:rPr>
                <w:t>[S006]</w:t>
              </w:r>
            </w:hyperlink>
          </w:p>
        </w:tc>
      </w:tr>
      <w:tr>
        <w:trPr>
          <w:cantSplit/>
        </w:trPr>
        <w:tc>
          <w:tcPr>
            <w:tcW w:type="dxa" w:w="2038"/>
            <w:vAlign w:val="top"/>
          </w:tcPr>
          <w:p>
            <w:pPr>
              <w:spacing w:after="80" w:before="60" w:line="276" w:lineRule="auto"/>
            </w:pPr>
            <w:r>
              <w:rPr>
                <w:sz w:val="18"/>
              </w:rPr>
              <w:t>Poly-Si 沟道及孔芯填充</w:t>
            </w:r>
          </w:p>
        </w:tc>
        <w:tc>
          <w:tcPr>
            <w:tcW w:type="dxa" w:w="3099"/>
            <w:vAlign w:val="top"/>
          </w:tcPr>
          <w:p>
            <w:pPr>
              <w:spacing w:after="80" w:before="60" w:line="276" w:lineRule="auto"/>
            </w:pPr>
            <w:r>
              <w:rPr>
                <w:sz w:val="18"/>
              </w:rPr>
              <w:t>沟道负责 string 方向载流；孔芯另有绝缘填充</w:t>
            </w:r>
          </w:p>
        </w:tc>
        <w:tc>
          <w:tcPr>
            <w:tcW w:type="dxa" w:w="4755"/>
            <w:vAlign w:val="top"/>
          </w:tcPr>
          <w:p>
            <w:pPr>
              <w:spacing w:after="80" w:before="60" w:line="276" w:lineRule="auto"/>
            </w:pPr>
            <w:r>
              <w:rPr>
                <w:sz w:val="18"/>
              </w:rPr>
              <w:t>垂直孔不是挖完后保持空心；各同心层有不同功能。</w:t>
            </w:r>
            <w:hyperlink r:id="rId27">
              <w:r>
                <w:rPr>
                  <w:color w:val="4338CA"/>
                </w:rPr>
                <w:t>[S002]</w:t>
              </w:r>
            </w:hyperlink>
            <w:hyperlink r:id="rId49">
              <w:r>
                <w:rPr>
                  <w:color w:val="4338CA"/>
                </w:rPr>
                <w:t>[S058]</w:t>
              </w:r>
            </w:hyperlink>
          </w:p>
        </w:tc>
      </w:tr>
    </w:tbl>
    <w:p>
      <w:pPr>
        <w:spacing w:after="0"/>
      </w:pPr>
    </w:p>
    <w:p>
      <w:pPr/>
      <w:r>
        <w:t xml:space="preserve">SiN 在此指氮化硅；材料名称必须同时对应化学式、器件位置与工艺步骤。</w:t>
      </w:r>
      <w:hyperlink r:id="rId27">
        <w:r>
          <w:rPr>
            <w:color w:val="4338CA"/>
          </w:rPr>
          <w:t>[S002]</w:t>
        </w:r>
      </w:hyperlink>
      <w:hyperlink r:id="rId47">
        <w:r>
          <w:rPr>
            <w:color w:val="4338CA"/>
          </w:rPr>
          <w:t>[S011]</w:t>
        </w:r>
      </w:hyperlink>
    </w:p>
    <w:p>
      <w:pPr>
        <w:pStyle w:val="Heading2"/>
      </w:pPr>
      <w:r>
        <w:t>从“有这种化学品”到“能进入量产”的差距</w:t>
      </w:r>
    </w:p>
    <w:p>
      <w:pPr/>
      <w:r>
        <w:t>薄膜材料需要可交付的 ALD/CVD 前驱体，前驱体又需要稳定的纯化、储运和供料系统。Merck 的公开薄膜产品资料分别列有有机硅、有机金属、介质和相关供料研发能力；这些目录能够证明供应商有对应材料平台，不能证明某个特定 NAND 客户已经采用其某一配方。</w:t>
      </w:r>
      <w:hyperlink r:id="rId52">
        <w:r>
          <w:rPr>
            <w:color w:val="4338CA"/>
          </w:rPr>
          <w:t>[S010]</w:t>
        </w:r>
      </w:hyperlink>
    </w:p>
    <w:p>
      <w:pPr/>
      <w:r>
        <w:t>ALD 的优势是表面自限反应形成的厚度控制和共形性，但“原子层级”不自动保证高吞吐：不同反应物、温度、曝露与清扫条件会影响生产率。ASM 的公开应用包括高 k 栅、MIM 电容、介质及高深宽比结构，因此设备评估要按具体薄膜和步骤比较，不能仅比较“都有 ALD”。</w:t>
      </w:r>
      <w:hyperlink r:id="rId53">
        <w:r>
          <w:rPr>
            <w:color w:val="4338CA"/>
          </w:rPr>
          <w:t>[S031]</w:t>
        </w:r>
      </w:hyperlink>
    </w:p>
    <w:p>
      <w:pPr/>
      <w:r>
        <w:t>热磷酸去除牺牲 SiN 的案例说明了材料壁垒的真实形态：选择比好仍可能因槽液中的反应产物再沉积而增缺陷；延长槽液寿命又可能恶化这一问题。可投资的差异来自在客户结构上同时控制选择性、缺陷、产能与使用寿命，必须用客户验证数据判定。</w:t>
      </w:r>
      <w:hyperlink r:id="rId35">
        <w:r>
          <w:rPr>
            <w:color w:val="4338CA"/>
          </w:rPr>
          <w:t>[S009]</w:t>
        </w:r>
      </w:hyperlink>
    </w:p>
    <w:p>
      <w:pPr/>
      <w:r>
        <w:rPr>
          <w:b/>
        </w:rPr>
        <w:t>研究判断：</w:t>
      </w:r>
      <w:r>
        <w:t xml:space="preserve"> 3D NAND 扩层的竞争最终是一张约束网络——更高堆叠提高孔深，孔深影响刻蚀/沉积时间；更薄字线降低高度，却放大电阻与金属整合难题；更薄晶圆和更高膜应力又压迫后续键合。突破一个步骤可以释放其他步骤的价值，但也可能把瓶颈转移给相邻工序。</w:t>
      </w:r>
      <w:hyperlink r:id="rId50">
        <w:r>
          <w:rPr>
            <w:color w:val="4338CA"/>
          </w:rPr>
          <w:t>[S005]</w:t>
        </w:r>
      </w:hyperlink>
      <w:hyperlink r:id="rId34">
        <w:r>
          <w:rPr>
            <w:color w:val="4338CA"/>
          </w:rPr>
          <w:t>[S006]</w:t>
        </w:r>
      </w:hyperlink>
      <w:hyperlink r:id="rId28">
        <w:r>
          <w:rPr>
            <w:color w:val="4338CA"/>
          </w:rPr>
          <w:t>[S008]</w:t>
        </w:r>
      </w:hyperlink>
    </w:p>
    <w:p>
      <w:pPr>
        <w:pStyle w:val="Heading1"/>
        <w:pageBreakBefore/>
      </w:pPr>
      <w:r>
        <w:t>02  从电网到芯片 供电架构与材料</w:t>
      </w:r>
    </w:p>
    <w:p>
      <w:pPr/>
      <w:r>
        <w:t>范围：截至 2026-10-15。下图是功能拓扑；项目可以选择不同冗余、交流/直流架构，并非所有方框都串联。机柜内的直流母排不能与园区中压母线混为一谈。</w:t>
      </w:r>
      <w:hyperlink r:id="rId54">
        <w:r>
          <w:rPr>
            <w:color w:val="4338CA"/>
          </w:rPr>
          <w:t>[N004]</w:t>
        </w:r>
      </w:hyperlink>
      <w:hyperlink r:id="rId55">
        <w:r>
          <w:rPr>
            <w:color w:val="4338CA"/>
          </w:rPr>
          <w:t>[N013]</w:t>
        </w:r>
      </w:hyperlink>
      <w:hyperlink r:id="rId56">
        <w:r>
          <w:rPr>
            <w:color w:val="4338CA"/>
          </w:rPr>
          <w:t>[N019]</w:t>
        </w:r>
      </w:hyperlink>
    </w:p>
    <w:p>
      <w:pPr>
        <w:keepNext/>
      </w:pPr>
      <w:r>
        <w:t>从电网到芯片的功能供电拓扑（从左至右第 1/4 段，相邻区域重叠）</w:t>
      </w:r>
    </w:p>
    <w:p>
      <w:r>
        <w:drawing>
          <wp:inline xmlns:a="http://schemas.openxmlformats.org/drawingml/2006/main" xmlns:pic="http://schemas.openxmlformats.org/drawingml/2006/picture">
            <wp:extent cx="6281928" cy="1978807"/>
            <wp:docPr id="8" name="Picture 8"/>
            <wp:cNvGraphicFramePr>
              <a:graphicFrameLocks noChangeAspect="1"/>
            </wp:cNvGraphicFramePr>
            <a:graphic>
              <a:graphicData uri="http://schemas.openxmlformats.org/drawingml/2006/picture">
                <pic:pic>
                  <pic:nvPicPr>
                    <pic:cNvPr id="0" name="print-02-power-thermal-1.png"/>
                    <pic:cNvPicPr/>
                  </pic:nvPicPr>
                  <pic:blipFill>
                    <a:blip r:embed="rId328"/>
                    <a:stretch>
                      <a:fillRect/>
                    </a:stretch>
                  </pic:blipFill>
                  <pic:spPr>
                    <a:xfrm>
                      <a:off x="0" y="0"/>
                      <a:ext cx="6281928" cy="1978807"/>
                    </a:xfrm>
                    <a:prstGeom prst="rect"/>
                  </pic:spPr>
                </pic:pic>
              </a:graphicData>
            </a:graphic>
          </wp:inline>
        </w:drawing>
      </w:r>
    </w:p>
    <w:p>
      <w:pPr>
        <w:keepNext/>
      </w:pPr>
      <w:r>
        <w:t>从电网到芯片的功能供电拓扑（从左至右第 2/4 段，相邻区域重叠）</w:t>
      </w:r>
    </w:p>
    <w:p>
      <w:r>
        <w:drawing>
          <wp:inline xmlns:a="http://schemas.openxmlformats.org/drawingml/2006/main" xmlns:pic="http://schemas.openxmlformats.org/drawingml/2006/picture">
            <wp:extent cx="6281928" cy="1978807"/>
            <wp:docPr id="9" name="Picture 9"/>
            <wp:cNvGraphicFramePr>
              <a:graphicFrameLocks noChangeAspect="1"/>
            </wp:cNvGraphicFramePr>
            <a:graphic>
              <a:graphicData uri="http://schemas.openxmlformats.org/drawingml/2006/picture">
                <pic:pic>
                  <pic:nvPicPr>
                    <pic:cNvPr id="0" name="print-02-power-thermal-2.png"/>
                    <pic:cNvPicPr/>
                  </pic:nvPicPr>
                  <pic:blipFill>
                    <a:blip r:embed="rId329"/>
                    <a:stretch>
                      <a:fillRect/>
                    </a:stretch>
                  </pic:blipFill>
                  <pic:spPr>
                    <a:xfrm>
                      <a:off x="0" y="0"/>
                      <a:ext cx="6281928" cy="1978807"/>
                    </a:xfrm>
                    <a:prstGeom prst="rect"/>
                  </pic:spPr>
                </pic:pic>
              </a:graphicData>
            </a:graphic>
          </wp:inline>
        </w:drawing>
      </w:r>
    </w:p>
    <w:p>
      <w:pPr>
        <w:keepNext/>
      </w:pPr>
      <w:r>
        <w:t>从电网到芯片的功能供电拓扑（从左至右第 3/4 段，相邻区域重叠）</w:t>
      </w:r>
    </w:p>
    <w:p>
      <w:r>
        <w:drawing>
          <wp:inline xmlns:a="http://schemas.openxmlformats.org/drawingml/2006/main" xmlns:pic="http://schemas.openxmlformats.org/drawingml/2006/picture">
            <wp:extent cx="6281928" cy="1978807"/>
            <wp:docPr id="10" name="Picture 10"/>
            <wp:cNvGraphicFramePr>
              <a:graphicFrameLocks noChangeAspect="1"/>
            </wp:cNvGraphicFramePr>
            <a:graphic>
              <a:graphicData uri="http://schemas.openxmlformats.org/drawingml/2006/picture">
                <pic:pic>
                  <pic:nvPicPr>
                    <pic:cNvPr id="0" name="print-02-power-thermal-3.png"/>
                    <pic:cNvPicPr/>
                  </pic:nvPicPr>
                  <pic:blipFill>
                    <a:blip r:embed="rId330"/>
                    <a:stretch>
                      <a:fillRect/>
                    </a:stretch>
                  </pic:blipFill>
                  <pic:spPr>
                    <a:xfrm>
                      <a:off x="0" y="0"/>
                      <a:ext cx="6281928" cy="1978807"/>
                    </a:xfrm>
                    <a:prstGeom prst="rect"/>
                  </pic:spPr>
                </pic:pic>
              </a:graphicData>
            </a:graphic>
          </wp:inline>
        </w:drawing>
      </w:r>
    </w:p>
    <w:p>
      <w:pPr>
        <w:keepNext/>
      </w:pPr>
      <w:r>
        <w:t>从电网到芯片的功能供电拓扑（从左至右第 4/4 段，相邻区域重叠）</w:t>
      </w:r>
    </w:p>
    <w:p>
      <w:r>
        <w:drawing>
          <wp:inline xmlns:a="http://schemas.openxmlformats.org/drawingml/2006/main" xmlns:pic="http://schemas.openxmlformats.org/drawingml/2006/picture">
            <wp:extent cx="6281928" cy="1978807"/>
            <wp:docPr id="11" name="Picture 11"/>
            <wp:cNvGraphicFramePr>
              <a:graphicFrameLocks noChangeAspect="1"/>
            </wp:cNvGraphicFramePr>
            <a:graphic>
              <a:graphicData uri="http://schemas.openxmlformats.org/drawingml/2006/picture">
                <pic:pic>
                  <pic:nvPicPr>
                    <pic:cNvPr id="0" name="print-02-power-thermal-4.png"/>
                    <pic:cNvPicPr/>
                  </pic:nvPicPr>
                  <pic:blipFill>
                    <a:blip r:embed="rId331"/>
                    <a:stretch>
                      <a:fillRect/>
                    </a:stretch>
                  </pic:blipFill>
                  <pic:spPr>
                    <a:xfrm>
                      <a:off x="0" y="0"/>
                      <a:ext cx="6281928" cy="1978807"/>
                    </a:xfrm>
                    <a:prstGeom prst="rect"/>
                  </pic:spPr>
                </pic:pic>
              </a:graphicData>
            </a:graphic>
          </wp:inline>
        </w:drawing>
      </w:r>
    </w:p>
    <w:p>
      <w:pPr/>
      <w:r>
        <w:t>图中电力路径依据 OCP、华为产品手册；直流演进依据 NVIDIA；热路径依据 OCP 冷板要求与 CoolIT。每条箭头表达能量/热量交接，不代表供应商独家关系。</w:t>
      </w:r>
      <w:hyperlink r:id="rId54">
        <w:r>
          <w:rPr>
            <w:color w:val="4338CA"/>
          </w:rPr>
          <w:t>[N004]</w:t>
        </w:r>
      </w:hyperlink>
      <w:hyperlink r:id="rId57">
        <w:r>
          <w:rPr>
            <w:color w:val="4338CA"/>
          </w:rPr>
          <w:t>[N009]</w:t>
        </w:r>
      </w:hyperlink>
      <w:hyperlink r:id="rId58">
        <w:r>
          <w:rPr>
            <w:color w:val="4338CA"/>
          </w:rPr>
          <w:t>[N010]</w:t>
        </w:r>
      </w:hyperlink>
      <w:hyperlink r:id="rId59">
        <w:r>
          <w:rPr>
            <w:color w:val="4338CA"/>
          </w:rPr>
          <w:t>[N002]</w:t>
        </w:r>
      </w:hyperlink>
      <w:hyperlink r:id="rId56">
        <w:r>
          <w:rPr>
            <w:color w:val="4338CA"/>
          </w:rPr>
          <w:t>[N019]</w:t>
        </w:r>
      </w:hyperlink>
    </w:p>
    <w:p>
      <w:pPr>
        <w:pStyle w:val="Heading2"/>
      </w:pPr>
      <w:r>
        <w:t>首先区分四种“容量”</w:t>
      </w:r>
    </w:p>
    <w:p>
      <w:pPr/>
      <w:r>
        <w:rPr>
          <w:b/>
        </w:rPr>
        <w:t>电源容量、可接入电网容量、IT 可用容量、实际利用率是四个变量。</w:t>
      </w:r>
      <w:r>
        <w:t xml:space="preserve"> IEA 2026 年更新将全球数据中心用电量由 2025 年约 485 TWh 预测至 2030 年约 950 TWh；这是全体数据中心的用电预测，不是 AI GPU 市场规模。当地输变电、设备、审批和融资约束会改变项目兑现时间，不能用宣布的 GW 直接换算当期收入。</w:t>
      </w:r>
      <w:hyperlink r:id="rId60">
        <w:r>
          <w:rPr>
            <w:color w:val="4338CA"/>
          </w:rPr>
          <w:t>[N001]</w:t>
        </w:r>
      </w:hyperlink>
    </w:p>
    <w:p>
      <w:pPr/>
      <w:r>
        <w:t>判断一个园区，先核实并网协议及送电里程碑，再核实变压器/开关柜/冷却交付，最后核实安装的 IT 负载与可售算力。这是由工程依赖推导的研究顺序：已买 GPU 不等于已上电；已上电不等于可持续满载运行。</w:t>
      </w:r>
      <w:hyperlink r:id="rId60">
        <w:r>
          <w:rPr>
            <w:color w:val="4338CA"/>
          </w:rPr>
          <w:t>[N001]</w:t>
        </w:r>
      </w:hyperlink>
      <w:hyperlink r:id="rId61">
        <w:r>
          <w:rPr>
            <w:color w:val="4338CA"/>
          </w:rPr>
          <w:t>[N012]</w:t>
        </w:r>
      </w:hyperlink>
      <w:hyperlink r:id="rId55">
        <w:r>
          <w:rPr>
            <w:color w:val="4338CA"/>
          </w:rPr>
          <w:t>[N013]</w:t>
        </w:r>
      </w:hyperlink>
    </w:p>
    <w:p>
      <w:pPr>
        <w:pStyle w:val="Heading2"/>
      </w:pPr>
      <w:r>
        <w:t>每一层究竟解决什么</w:t>
      </w:r>
    </w:p>
    <w:tbl>
      <w:tblPr>
        <w:tblW w:type="auto" w:w="0"/>
        <w:jc w:val="center"/>
        <w:tblLayout w:type="fixed"/>
        <w:tblLook w:firstColumn="1" w:firstRow="1" w:lastColumn="0" w:lastRow="0" w:noHBand="0" w:noVBand="1" w:val="04A0"/>
      </w:tblPr>
      <w:tblGrid>
        <w:gridCol w:w="922"/>
        <w:gridCol w:w="4098"/>
        <w:gridCol w:w="3615"/>
        <w:gridCol w:w="1259"/>
      </w:tblGrid>
      <w:tr>
        <w:trPr>
          <w:tblHeader/>
        </w:trPr>
        <w:tc>
          <w:tcPr>
            <w:tcW w:type="dxa" w:w="922"/>
            <w:vAlign w:val="top"/>
            <w:shd w:fill="E0E7FF"/>
          </w:tcPr>
          <w:p>
            <w:pPr>
              <w:spacing w:after="80" w:before="60" w:line="276" w:lineRule="auto"/>
            </w:pPr>
            <w:r>
              <w:rPr>
                <w:b/>
                <w:sz w:val="18"/>
              </w:rPr>
              <w:t>层级</w:t>
            </w:r>
          </w:p>
        </w:tc>
        <w:tc>
          <w:tcPr>
            <w:tcW w:type="dxa" w:w="4098"/>
            <w:vAlign w:val="top"/>
            <w:shd w:fill="E0E7FF"/>
          </w:tcPr>
          <w:p>
            <w:pPr>
              <w:spacing w:after="80" w:before="60" w:line="276" w:lineRule="auto"/>
            </w:pPr>
            <w:r>
              <w:rPr>
                <w:b/>
                <w:sz w:val="18"/>
              </w:rPr>
              <w:t>功能与关键部件</w:t>
            </w:r>
          </w:p>
        </w:tc>
        <w:tc>
          <w:tcPr>
            <w:tcW w:type="dxa" w:w="3615"/>
            <w:vAlign w:val="top"/>
            <w:shd w:fill="E0E7FF"/>
          </w:tcPr>
          <w:p>
            <w:pPr>
              <w:spacing w:after="80" w:before="60" w:line="276" w:lineRule="auto"/>
            </w:pPr>
            <w:r>
              <w:rPr>
                <w:b/>
                <w:sz w:val="18"/>
              </w:rPr>
              <w:t>最应该问的参数</w:t>
            </w:r>
          </w:p>
        </w:tc>
        <w:tc>
          <w:tcPr>
            <w:tcW w:type="dxa" w:w="1259"/>
            <w:vAlign w:val="top"/>
            <w:shd w:fill="E0E7FF"/>
          </w:tcPr>
          <w:p>
            <w:pPr>
              <w:spacing w:after="80" w:before="60" w:line="276" w:lineRule="auto"/>
            </w:pPr>
            <w:r>
              <w:rPr>
                <w:b/>
                <w:sz w:val="18"/>
              </w:rPr>
              <w:t>证据</w:t>
            </w:r>
          </w:p>
        </w:tc>
      </w:tr>
      <w:tr>
        <w:trPr>
          <w:cantSplit/>
        </w:trPr>
        <w:tc>
          <w:tcPr>
            <w:tcW w:type="dxa" w:w="922"/>
            <w:vAlign w:val="top"/>
          </w:tcPr>
          <w:p>
            <w:pPr>
              <w:spacing w:after="80" w:before="60" w:line="276" w:lineRule="auto"/>
            </w:pPr>
            <w:r>
              <w:rPr>
                <w:sz w:val="18"/>
              </w:rPr>
              <w:t>电网连接</w:t>
            </w:r>
          </w:p>
        </w:tc>
        <w:tc>
          <w:tcPr>
            <w:tcW w:type="dxa" w:w="4098"/>
            <w:vAlign w:val="top"/>
          </w:tcPr>
          <w:p>
            <w:pPr>
              <w:spacing w:after="80" w:before="60" w:line="276" w:lineRule="auto"/>
            </w:pPr>
            <w:r>
              <w:rPr>
                <w:sz w:val="18"/>
              </w:rPr>
              <w:t>电网公司、输电线路、变电站、保护继电器、计量；确定电力何时抵达</w:t>
            </w:r>
          </w:p>
        </w:tc>
        <w:tc>
          <w:tcPr>
            <w:tcW w:type="dxa" w:w="3615"/>
            <w:vAlign w:val="top"/>
          </w:tcPr>
          <w:p>
            <w:pPr>
              <w:spacing w:after="80" w:before="60" w:line="276" w:lineRule="auto"/>
            </w:pPr>
            <w:r>
              <w:rPr>
                <w:sz w:val="18"/>
              </w:rPr>
              <w:t>firm capacity、并网条件、可中断负载条款、短路容量</w:t>
            </w:r>
          </w:p>
        </w:tc>
        <w:tc>
          <w:tcPr>
            <w:tcW w:type="dxa" w:w="1259"/>
            <w:vAlign w:val="top"/>
          </w:tcPr>
          <w:p>
            <w:pPr>
              <w:spacing w:after="80" w:before="60" w:line="276" w:lineRule="auto"/>
            </w:pPr>
            <w:hyperlink r:id="rId60">
              <w:r>
                <w:rPr>
                  <w:color w:val="4338CA"/>
                </w:rPr>
                <w:t>[N001]</w:t>
              </w:r>
            </w:hyperlink>
            <w:hyperlink r:id="rId55">
              <w:r>
                <w:rPr>
                  <w:color w:val="4338CA"/>
                </w:rPr>
                <w:t>[N013]</w:t>
              </w:r>
            </w:hyperlink>
          </w:p>
        </w:tc>
      </w:tr>
      <w:tr>
        <w:trPr>
          <w:cantSplit/>
        </w:trPr>
        <w:tc>
          <w:tcPr>
            <w:tcW w:type="dxa" w:w="922"/>
            <w:vAlign w:val="top"/>
          </w:tcPr>
          <w:p>
            <w:pPr>
              <w:spacing w:after="80" w:before="60" w:line="276" w:lineRule="auto"/>
            </w:pPr>
            <w:r>
              <w:rPr>
                <w:sz w:val="18"/>
              </w:rPr>
              <w:t>中压变配电</w:t>
            </w:r>
          </w:p>
        </w:tc>
        <w:tc>
          <w:tcPr>
            <w:tcW w:type="dxa" w:w="4098"/>
            <w:vAlign w:val="top"/>
          </w:tcPr>
          <w:p>
            <w:pPr>
              <w:spacing w:after="80" w:before="60" w:line="276" w:lineRule="auto"/>
            </w:pPr>
            <w:r>
              <w:rPr>
                <w:sz w:val="18"/>
              </w:rPr>
              <w:t>中压开关柜隔离/保护；变压器改变电压；母线与电缆输送功率</w:t>
            </w:r>
          </w:p>
        </w:tc>
        <w:tc>
          <w:tcPr>
            <w:tcW w:type="dxa" w:w="3615"/>
            <w:vAlign w:val="top"/>
          </w:tcPr>
          <w:p>
            <w:pPr>
              <w:spacing w:after="80" w:before="60" w:line="276" w:lineRule="auto"/>
            </w:pPr>
            <w:r>
              <w:rPr>
                <w:sz w:val="18"/>
              </w:rPr>
              <w:t>额定/短路电流、绝缘等级、温升、选择性保护、交期</w:t>
            </w:r>
          </w:p>
        </w:tc>
        <w:tc>
          <w:tcPr>
            <w:tcW w:type="dxa" w:w="1259"/>
            <w:vAlign w:val="top"/>
          </w:tcPr>
          <w:p>
            <w:pPr>
              <w:spacing w:after="80" w:before="60" w:line="276" w:lineRule="auto"/>
            </w:pPr>
            <w:hyperlink r:id="rId61">
              <w:r>
                <w:rPr>
                  <w:color w:val="4338CA"/>
                </w:rPr>
                <w:t>[N012]</w:t>
              </w:r>
            </w:hyperlink>
            <w:hyperlink r:id="rId55">
              <w:r>
                <w:rPr>
                  <w:color w:val="4338CA"/>
                </w:rPr>
                <w:t>[N013]</w:t>
              </w:r>
            </w:hyperlink>
          </w:p>
        </w:tc>
      </w:tr>
      <w:tr>
        <w:trPr>
          <w:cantSplit/>
        </w:trPr>
        <w:tc>
          <w:tcPr>
            <w:tcW w:type="dxa" w:w="922"/>
            <w:vAlign w:val="top"/>
          </w:tcPr>
          <w:p>
            <w:pPr>
              <w:spacing w:after="80" w:before="60" w:line="276" w:lineRule="auto"/>
            </w:pPr>
            <w:r>
              <w:rPr>
                <w:sz w:val="18"/>
              </w:rPr>
              <w:t>备用发电</w:t>
            </w:r>
          </w:p>
        </w:tc>
        <w:tc>
          <w:tcPr>
            <w:tcW w:type="dxa" w:w="4098"/>
            <w:vAlign w:val="top"/>
          </w:tcPr>
          <w:p>
            <w:pPr>
              <w:spacing w:after="80" w:before="60" w:line="276" w:lineRule="auto"/>
            </w:pPr>
            <w:r>
              <w:rPr>
                <w:sz w:val="18"/>
              </w:rPr>
              <w:t>发动机、发电机、控制器、ATS、燃料和排气系统；电网异常时承担负载</w:t>
            </w:r>
          </w:p>
        </w:tc>
        <w:tc>
          <w:tcPr>
            <w:tcW w:type="dxa" w:w="3615"/>
            <w:vAlign w:val="top"/>
          </w:tcPr>
          <w:p>
            <w:pPr>
              <w:spacing w:after="80" w:before="60" w:line="276" w:lineRule="auto"/>
            </w:pPr>
            <w:r>
              <w:rPr>
                <w:sz w:val="18"/>
              </w:rPr>
              <w:t>standby 与 prime rating、启动/加载曲线、燃料连续性、排放许可</w:t>
            </w:r>
          </w:p>
        </w:tc>
        <w:tc>
          <w:tcPr>
            <w:tcW w:type="dxa" w:w="1259"/>
            <w:vAlign w:val="top"/>
          </w:tcPr>
          <w:p>
            <w:pPr>
              <w:spacing w:after="80" w:before="60" w:line="276" w:lineRule="auto"/>
            </w:pPr>
            <w:hyperlink r:id="rId62">
              <w:r>
                <w:rPr>
                  <w:color w:val="4338CA"/>
                </w:rPr>
                <w:t>[N016]</w:t>
              </w:r>
            </w:hyperlink>
          </w:p>
        </w:tc>
      </w:tr>
      <w:tr>
        <w:trPr>
          <w:cantSplit/>
        </w:trPr>
        <w:tc>
          <w:tcPr>
            <w:tcW w:type="dxa" w:w="922"/>
            <w:vAlign w:val="top"/>
          </w:tcPr>
          <w:p>
            <w:pPr>
              <w:spacing w:after="80" w:before="60" w:line="276" w:lineRule="auto"/>
            </w:pPr>
            <w:r>
              <w:rPr>
                <w:sz w:val="18"/>
              </w:rPr>
              <w:t>UPS/电池</w:t>
            </w:r>
          </w:p>
        </w:tc>
        <w:tc>
          <w:tcPr>
            <w:tcW w:type="dxa" w:w="4098"/>
            <w:vAlign w:val="top"/>
          </w:tcPr>
          <w:p>
            <w:pPr>
              <w:spacing w:after="80" w:before="60" w:line="276" w:lineRule="auto"/>
            </w:pPr>
            <w:r>
              <w:rPr>
                <w:sz w:val="18"/>
              </w:rPr>
              <w:t>整流、逆变、旁路、电池、控制；桥接切换和电能质量扰动</w:t>
            </w:r>
          </w:p>
        </w:tc>
        <w:tc>
          <w:tcPr>
            <w:tcW w:type="dxa" w:w="3615"/>
            <w:vAlign w:val="top"/>
          </w:tcPr>
          <w:p>
            <w:pPr>
              <w:spacing w:after="80" w:before="60" w:line="276" w:lineRule="auto"/>
            </w:pPr>
            <w:r>
              <w:rPr>
                <w:sz w:val="18"/>
              </w:rPr>
              <w:t>满载/部分负载效率、瞬态响应、可维护性、电池寿命</w:t>
            </w:r>
          </w:p>
        </w:tc>
        <w:tc>
          <w:tcPr>
            <w:tcW w:type="dxa" w:w="1259"/>
            <w:vAlign w:val="top"/>
          </w:tcPr>
          <w:p>
            <w:pPr>
              <w:spacing w:after="80" w:before="60" w:line="276" w:lineRule="auto"/>
            </w:pPr>
            <w:hyperlink r:id="rId56">
              <w:r>
                <w:rPr>
                  <w:color w:val="4338CA"/>
                </w:rPr>
                <w:t>[N019]</w:t>
              </w:r>
            </w:hyperlink>
          </w:p>
        </w:tc>
      </w:tr>
      <w:tr>
        <w:trPr>
          <w:cantSplit/>
        </w:trPr>
        <w:tc>
          <w:tcPr>
            <w:tcW w:type="dxa" w:w="922"/>
            <w:vAlign w:val="top"/>
          </w:tcPr>
          <w:p>
            <w:pPr>
              <w:spacing w:after="80" w:before="60" w:line="276" w:lineRule="auto"/>
            </w:pPr>
            <w:r>
              <w:rPr>
                <w:sz w:val="18"/>
              </w:rPr>
              <w:t>BESS/BBU</w:t>
            </w:r>
          </w:p>
        </w:tc>
        <w:tc>
          <w:tcPr>
            <w:tcW w:type="dxa" w:w="4098"/>
            <w:vAlign w:val="top"/>
          </w:tcPr>
          <w:p>
            <w:pPr>
              <w:spacing w:after="80" w:before="60" w:line="276" w:lineRule="auto"/>
            </w:pPr>
            <w:r>
              <w:rPr>
                <w:sz w:val="18"/>
              </w:rPr>
              <w:t>园区储能与机柜备电分属不同尺度；储能可缓冲，不能凭“有电池”推定可长期离网</w:t>
            </w:r>
          </w:p>
        </w:tc>
        <w:tc>
          <w:tcPr>
            <w:tcW w:type="dxa" w:w="3615"/>
            <w:vAlign w:val="top"/>
          </w:tcPr>
          <w:p>
            <w:pPr>
              <w:spacing w:after="80" w:before="60" w:line="276" w:lineRule="auto"/>
            </w:pPr>
            <w:r>
              <w:rPr>
                <w:sz w:val="18"/>
              </w:rPr>
              <w:t>能量 kWh/MWh、功率 kW/MW、持续时间、充放电策略</w:t>
            </w:r>
          </w:p>
        </w:tc>
        <w:tc>
          <w:tcPr>
            <w:tcW w:type="dxa" w:w="1259"/>
            <w:vAlign w:val="top"/>
          </w:tcPr>
          <w:p>
            <w:pPr>
              <w:spacing w:after="80" w:before="60" w:line="276" w:lineRule="auto"/>
            </w:pPr>
            <w:hyperlink r:id="rId54">
              <w:r>
                <w:rPr>
                  <w:color w:val="4338CA"/>
                </w:rPr>
                <w:t>[N004]</w:t>
              </w:r>
            </w:hyperlink>
            <w:hyperlink r:id="rId63">
              <w:r>
                <w:rPr>
                  <w:color w:val="4338CA"/>
                </w:rPr>
                <w:t>[N006]</w:t>
              </w:r>
            </w:hyperlink>
          </w:p>
        </w:tc>
      </w:tr>
      <w:tr>
        <w:trPr>
          <w:cantSplit/>
        </w:trPr>
        <w:tc>
          <w:tcPr>
            <w:tcW w:type="dxa" w:w="922"/>
            <w:vAlign w:val="top"/>
          </w:tcPr>
          <w:p>
            <w:pPr>
              <w:spacing w:after="80" w:before="60" w:line="276" w:lineRule="auto"/>
            </w:pPr>
            <w:r>
              <w:rPr>
                <w:sz w:val="18"/>
              </w:rPr>
              <w:t>列头柜/母线槽</w:t>
            </w:r>
          </w:p>
        </w:tc>
        <w:tc>
          <w:tcPr>
            <w:tcW w:type="dxa" w:w="4098"/>
            <w:vAlign w:val="top"/>
          </w:tcPr>
          <w:p>
            <w:pPr>
              <w:spacing w:after="80" w:before="60" w:line="276" w:lineRule="auto"/>
            </w:pPr>
            <w:r>
              <w:rPr>
                <w:sz w:val="18"/>
              </w:rPr>
              <w:t>列头柜集中分路；母线槽加 tap-off box 向机架供电；两者可替代或组合</w:t>
            </w:r>
          </w:p>
        </w:tc>
        <w:tc>
          <w:tcPr>
            <w:tcW w:type="dxa" w:w="3615"/>
            <w:vAlign w:val="top"/>
          </w:tcPr>
          <w:p>
            <w:pPr>
              <w:spacing w:after="80" w:before="60" w:line="276" w:lineRule="auto"/>
            </w:pPr>
            <w:r>
              <w:rPr>
                <w:sz w:val="18"/>
              </w:rPr>
              <w:t>分路数量、插接能力、计量、故障分区、铜/铝截面</w:t>
            </w:r>
          </w:p>
        </w:tc>
        <w:tc>
          <w:tcPr>
            <w:tcW w:type="dxa" w:w="1259"/>
            <w:vAlign w:val="top"/>
          </w:tcPr>
          <w:p>
            <w:pPr>
              <w:spacing w:after="80" w:before="60" w:line="276" w:lineRule="auto"/>
            </w:pPr>
            <w:hyperlink r:id="rId64">
              <w:r>
                <w:rPr>
                  <w:color w:val="4338CA"/>
                </w:rPr>
                <w:t>[N014]</w:t>
              </w:r>
            </w:hyperlink>
            <w:hyperlink r:id="rId65">
              <w:r>
                <w:rPr>
                  <w:color w:val="4338CA"/>
                </w:rPr>
                <w:t>[N060]</w:t>
              </w:r>
            </w:hyperlink>
          </w:p>
        </w:tc>
      </w:tr>
      <w:tr>
        <w:trPr>
          <w:cantSplit/>
        </w:trPr>
        <w:tc>
          <w:tcPr>
            <w:tcW w:type="dxa" w:w="922"/>
            <w:vAlign w:val="top"/>
          </w:tcPr>
          <w:p>
            <w:pPr>
              <w:spacing w:after="80" w:before="60" w:line="276" w:lineRule="auto"/>
            </w:pPr>
            <w:r>
              <w:rPr>
                <w:sz w:val="18"/>
              </w:rPr>
              <w:t>rack PDU</w:t>
            </w:r>
          </w:p>
        </w:tc>
        <w:tc>
          <w:tcPr>
            <w:tcW w:type="dxa" w:w="4098"/>
            <w:vAlign w:val="top"/>
          </w:tcPr>
          <w:p>
            <w:pPr>
              <w:spacing w:after="80" w:before="60" w:line="276" w:lineRule="auto"/>
            </w:pPr>
            <w:r>
              <w:rPr>
                <w:sz w:val="18"/>
              </w:rPr>
              <w:t>把输入电力分给设备插座；智能 PDU 增加遥测/控制；不是交换机</w:t>
            </w:r>
          </w:p>
        </w:tc>
        <w:tc>
          <w:tcPr>
            <w:tcW w:type="dxa" w:w="3615"/>
            <w:vAlign w:val="top"/>
          </w:tcPr>
          <w:p>
            <w:pPr>
              <w:spacing w:after="80" w:before="60" w:line="276" w:lineRule="auto"/>
            </w:pPr>
            <w:r>
              <w:rPr>
                <w:sz w:val="18"/>
              </w:rPr>
              <w:t>插座/回路额定值、相平衡、冗余输入、远程计量</w:t>
            </w:r>
          </w:p>
        </w:tc>
        <w:tc>
          <w:tcPr>
            <w:tcW w:type="dxa" w:w="1259"/>
            <w:vAlign w:val="top"/>
          </w:tcPr>
          <w:p>
            <w:pPr>
              <w:spacing w:after="80" w:before="60" w:line="276" w:lineRule="auto"/>
            </w:pPr>
            <w:hyperlink r:id="rId66">
              <w:r>
                <w:rPr>
                  <w:color w:val="4338CA"/>
                </w:rPr>
                <w:t>[N015]</w:t>
              </w:r>
            </w:hyperlink>
          </w:p>
        </w:tc>
      </w:tr>
      <w:tr>
        <w:trPr>
          <w:cantSplit/>
        </w:trPr>
        <w:tc>
          <w:tcPr>
            <w:tcW w:type="dxa" w:w="922"/>
            <w:vAlign w:val="top"/>
          </w:tcPr>
          <w:p>
            <w:pPr>
              <w:spacing w:after="80" w:before="60" w:line="276" w:lineRule="auto"/>
            </w:pPr>
            <w:r>
              <w:rPr>
                <w:sz w:val="18"/>
              </w:rPr>
              <w:t>power shelf/PSU</w:t>
            </w:r>
          </w:p>
        </w:tc>
        <w:tc>
          <w:tcPr>
            <w:tcW w:type="dxa" w:w="4098"/>
            <w:vAlign w:val="top"/>
          </w:tcPr>
          <w:p>
            <w:pPr>
              <w:spacing w:after="80" w:before="60" w:line="276" w:lineRule="auto"/>
            </w:pPr>
            <w:r>
              <w:rPr>
                <w:sz w:val="18"/>
              </w:rPr>
              <w:t>power shelf 是承载多个 PSU/整流模块的电源架；OCP 机架经公共直流母排给计算托盘供电</w:t>
            </w:r>
          </w:p>
        </w:tc>
        <w:tc>
          <w:tcPr>
            <w:tcW w:type="dxa" w:w="3615"/>
            <w:vAlign w:val="top"/>
          </w:tcPr>
          <w:p>
            <w:pPr>
              <w:spacing w:after="80" w:before="60" w:line="276" w:lineRule="auto"/>
            </w:pPr>
            <w:r>
              <w:rPr>
                <w:sz w:val="18"/>
              </w:rPr>
              <w:t>热插拔、N+1、母排温升、连接器、监控故障容错</w:t>
            </w:r>
          </w:p>
        </w:tc>
        <w:tc>
          <w:tcPr>
            <w:tcW w:type="dxa" w:w="1259"/>
            <w:vAlign w:val="top"/>
          </w:tcPr>
          <w:p>
            <w:pPr>
              <w:spacing w:after="80" w:before="60" w:line="276" w:lineRule="auto"/>
            </w:pPr>
            <w:hyperlink r:id="rId54">
              <w:r>
                <w:rPr>
                  <w:color w:val="4338CA"/>
                </w:rPr>
                <w:t>[N004]</w:t>
              </w:r>
            </w:hyperlink>
          </w:p>
        </w:tc>
      </w:tr>
      <w:tr>
        <w:trPr>
          <w:cantSplit/>
        </w:trPr>
        <w:tc>
          <w:tcPr>
            <w:tcW w:type="dxa" w:w="922"/>
            <w:vAlign w:val="top"/>
          </w:tcPr>
          <w:p>
            <w:pPr>
              <w:spacing w:after="80" w:before="60" w:line="276" w:lineRule="auto"/>
            </w:pPr>
            <w:r>
              <w:rPr>
                <w:sz w:val="18"/>
              </w:rPr>
              <w:t>板级供电</w:t>
            </w:r>
          </w:p>
        </w:tc>
        <w:tc>
          <w:tcPr>
            <w:tcW w:type="dxa" w:w="4098"/>
            <w:vAlign w:val="top"/>
          </w:tcPr>
          <w:p>
            <w:pPr>
              <w:spacing w:after="80" w:before="60" w:line="276" w:lineRule="auto"/>
            </w:pPr>
            <w:r>
              <w:rPr>
                <w:sz w:val="18"/>
              </w:rPr>
              <w:t>中间母线转换器 IBC、负载点 POL/VRM 把输入降为芯片所需电压</w:t>
            </w:r>
          </w:p>
        </w:tc>
        <w:tc>
          <w:tcPr>
            <w:tcW w:type="dxa" w:w="3615"/>
            <w:vAlign w:val="top"/>
          </w:tcPr>
          <w:p>
            <w:pPr>
              <w:spacing w:after="80" w:before="60" w:line="276" w:lineRule="auto"/>
            </w:pPr>
            <w:r>
              <w:rPr>
                <w:sz w:val="18"/>
              </w:rPr>
              <w:t>输出电流、动态压降、效率曲线、功率密度、散热</w:t>
            </w:r>
          </w:p>
        </w:tc>
        <w:tc>
          <w:tcPr>
            <w:tcW w:type="dxa" w:w="1259"/>
            <w:vAlign w:val="top"/>
          </w:tcPr>
          <w:p>
            <w:pPr>
              <w:spacing w:after="80" w:before="60" w:line="276" w:lineRule="auto"/>
            </w:pPr>
            <w:hyperlink r:id="rId63">
              <w:r>
                <w:rPr>
                  <w:color w:val="4338CA"/>
                </w:rPr>
                <w:t>[N006]</w:t>
              </w:r>
            </w:hyperlink>
            <w:hyperlink r:id="rId67">
              <w:r>
                <w:rPr>
                  <w:color w:val="4338CA"/>
                </w:rPr>
                <w:t>[N057]</w:t>
              </w:r>
            </w:hyperlink>
          </w:p>
        </w:tc>
      </w:tr>
    </w:tbl>
    <w:p>
      <w:pPr>
        <w:spacing w:after="0"/>
      </w:pPr>
    </w:p>
    <w:p>
      <w:pPr/>
      <w:r>
        <w:t>“机架”通常强调承重安装结构，“机柜”还包括围护、门、线缆和散热组织；采购中两词会交叉使用。OCP Open Rack、传统 19 英寸机柜、厂商整机架方案的尺寸、电源和接口需要分别核对，不能把一张标准机柜图套在所有 AI 系统上。</w:t>
      </w:r>
      <w:hyperlink r:id="rId54">
        <w:r>
          <w:rPr>
            <w:color w:val="4338CA"/>
          </w:rPr>
          <w:t>[N004]</w:t>
        </w:r>
      </w:hyperlink>
      <w:hyperlink r:id="rId66">
        <w:r>
          <w:rPr>
            <w:color w:val="4338CA"/>
          </w:rPr>
          <w:t>[N015]</w:t>
        </w:r>
      </w:hyperlink>
    </w:p>
    <w:p>
      <w:pPr>
        <w:pStyle w:val="Heading2"/>
      </w:pPr>
      <w:r>
        <w:t>48 54V 到 800VDC 改变在哪里</w:t>
      </w:r>
    </w:p>
    <w:p>
      <w:pPr/>
      <w:r>
        <w:t>低压直流的优点是贴近 IT 设备，但同样功率下电压越低，电流越大；由 P=VI、线损 I²R 可推得导体、接点温升和布线压力上升。提高分配电压可以减小同功率电流，却带来直流开断、绝缘、故障能量与检修问题。这是架构权衡，不是单个功率晶体管的替换。</w:t>
      </w:r>
      <w:hyperlink r:id="rId59">
        <w:r>
          <w:rPr>
            <w:color w:val="4338CA"/>
          </w:rPr>
          <w:t>[N002]</w:t>
        </w:r>
      </w:hyperlink>
      <w:hyperlink r:id="rId68">
        <w:r>
          <w:rPr>
            <w:color w:val="4338CA"/>
          </w:rPr>
          <w:t>[N005]</w:t>
        </w:r>
      </w:hyperlink>
    </w:p>
    <w:p>
      <w:pPr/>
      <w:r>
        <w:t>OCP ORv3 的代表架构是机架共享 48V 电源架和母排；某些产品体系称 54V 系统，应按额定工作范围和接口查表，不能把名称差异直接当作不兼容证据。OCP v1.0 电源架文件具体规定多个整流器、N+1 和热插拔，也显示部分方案可由设施 tap-box 直接进入电源架，不必再串一个机柜 PDU。</w:t>
      </w:r>
      <w:hyperlink r:id="rId54">
        <w:r>
          <w:rPr>
            <w:color w:val="4338CA"/>
          </w:rPr>
          <w:t>[N004]</w:t>
        </w:r>
      </w:hyperlink>
      <w:hyperlink r:id="rId63">
        <w:r>
          <w:rPr>
            <w:color w:val="4338CA"/>
          </w:rPr>
          <w:t>[N006]</w:t>
        </w:r>
      </w:hyperlink>
    </w:p>
    <w:p>
      <w:pPr/>
      <w:r>
        <w:rPr>
          <w:b/>
        </w:rPr>
        <w:t>当前成熟度边界：</w:t>
      </w:r>
      <w:r>
        <w:t xml:space="preserve"> NVIDIA 2026-08-11 文件把 MGX 兼容 800VDC power rack 写作“2026 年下半年到来”，属于接入既有 AC 设施的混合路线；集中 row power center 的预期可用时间为 2027 年。园区直接中压 AC→800VDC 与整套固态变压器路线仍需逐项目核验。生态合作、参考设计、样机、可交付产品、规模运营必须分别记录。</w:t>
      </w:r>
      <w:hyperlink r:id="rId59">
        <w:r>
          <w:rPr>
            <w:color w:val="4338CA"/>
          </w:rPr>
          <w:t>[N002]</w:t>
        </w:r>
      </w:hyperlink>
    </w:p>
    <w:p>
      <w:pPr/>
      <w:r>
        <w:t>Infineon 的系统图把 SiC 高压转换、GaN 高变比 DC/DC、Si/GaN 低压转换及最终 VRM 分开；因此“800V 受益”不等于每一颗开关都改用 SiC，也不等于 SiC 晶圆需求与机柜功率线性同步。具体 BOM 由电压、开关频率、拓扑、可靠性与成本共同决定。</w:t>
      </w:r>
      <w:hyperlink r:id="rId68">
        <w:r>
          <w:rPr>
            <w:color w:val="4338CA"/>
          </w:rPr>
          <w:t>[N005]</w:t>
        </w:r>
      </w:hyperlink>
      <w:hyperlink r:id="rId63">
        <w:r>
          <w:rPr>
            <w:color w:val="4338CA"/>
          </w:rPr>
          <w:t>[N006]</w:t>
        </w:r>
      </w:hyperlink>
    </w:p>
    <w:p>
      <w:pPr>
        <w:pStyle w:val="Heading2"/>
      </w:pPr>
      <w:r>
        <w:t>再向材料和工艺下钻</w:t>
      </w:r>
    </w:p>
    <w:tbl>
      <w:tblPr>
        <w:tblW w:type="auto" w:w="0"/>
        <w:jc w:val="center"/>
        <w:tblLayout w:type="fixed"/>
        <w:tblLook w:firstColumn="1" w:firstRow="1" w:lastColumn="0" w:lastRow="0" w:noHBand="0" w:noVBand="1" w:val="04A0"/>
      </w:tblPr>
      <w:tblGrid>
        <w:gridCol w:w="1041"/>
        <w:gridCol w:w="4549"/>
        <w:gridCol w:w="3097"/>
        <w:gridCol w:w="1206"/>
      </w:tblGrid>
      <w:tr>
        <w:trPr>
          <w:tblHeader/>
        </w:trPr>
        <w:tc>
          <w:tcPr>
            <w:tcW w:type="dxa" w:w="1041"/>
            <w:vAlign w:val="top"/>
            <w:shd w:fill="E0E7FF"/>
          </w:tcPr>
          <w:p>
            <w:pPr>
              <w:spacing w:after="80" w:before="60" w:line="276" w:lineRule="auto"/>
            </w:pPr>
            <w:r>
              <w:rPr>
                <w:b/>
                <w:sz w:val="18"/>
              </w:rPr>
              <w:t>部件</w:t>
            </w:r>
          </w:p>
        </w:tc>
        <w:tc>
          <w:tcPr>
            <w:tcW w:type="dxa" w:w="4549"/>
            <w:vAlign w:val="top"/>
            <w:shd w:fill="E0E7FF"/>
          </w:tcPr>
          <w:p>
            <w:pPr>
              <w:spacing w:after="80" w:before="60" w:line="276" w:lineRule="auto"/>
            </w:pPr>
            <w:r>
              <w:rPr>
                <w:b/>
                <w:sz w:val="18"/>
              </w:rPr>
              <w:t>材料/加工能力</w:t>
            </w:r>
          </w:p>
        </w:tc>
        <w:tc>
          <w:tcPr>
            <w:tcW w:type="dxa" w:w="3097"/>
            <w:vAlign w:val="top"/>
            <w:shd w:fill="E0E7FF"/>
          </w:tcPr>
          <w:p>
            <w:pPr>
              <w:spacing w:after="80" w:before="60" w:line="276" w:lineRule="auto"/>
            </w:pPr>
            <w:r>
              <w:rPr>
                <w:b/>
                <w:sz w:val="18"/>
              </w:rPr>
              <w:t>壁垒落点</w:t>
            </w:r>
          </w:p>
        </w:tc>
        <w:tc>
          <w:tcPr>
            <w:tcW w:type="dxa" w:w="1206"/>
            <w:vAlign w:val="top"/>
            <w:shd w:fill="E0E7FF"/>
          </w:tcPr>
          <w:p>
            <w:pPr>
              <w:spacing w:after="80" w:before="60" w:line="276" w:lineRule="auto"/>
            </w:pPr>
            <w:r>
              <w:rPr>
                <w:b/>
                <w:sz w:val="18"/>
              </w:rPr>
              <w:t>证据</w:t>
            </w:r>
          </w:p>
        </w:tc>
      </w:tr>
      <w:tr>
        <w:trPr>
          <w:cantSplit/>
        </w:trPr>
        <w:tc>
          <w:tcPr>
            <w:tcW w:type="dxa" w:w="1041"/>
            <w:vAlign w:val="top"/>
          </w:tcPr>
          <w:p>
            <w:pPr>
              <w:spacing w:after="80" w:before="60" w:line="276" w:lineRule="auto"/>
            </w:pPr>
            <w:r>
              <w:rPr>
                <w:sz w:val="18"/>
              </w:rPr>
              <w:t>功率半导体</w:t>
            </w:r>
          </w:p>
        </w:tc>
        <w:tc>
          <w:tcPr>
            <w:tcW w:type="dxa" w:w="4549"/>
            <w:vAlign w:val="top"/>
          </w:tcPr>
          <w:p>
            <w:pPr>
              <w:spacing w:after="80" w:before="60" w:line="276" w:lineRule="auto"/>
            </w:pPr>
            <w:r>
              <w:rPr>
                <w:sz w:val="18"/>
              </w:rPr>
              <w:t>Si、SiC、GaN 对应不同功率转换位置；器件设计、晶圆工艺、封装和驱动协同</w:t>
            </w:r>
          </w:p>
        </w:tc>
        <w:tc>
          <w:tcPr>
            <w:tcW w:type="dxa" w:w="3097"/>
            <w:vAlign w:val="top"/>
          </w:tcPr>
          <w:p>
            <w:pPr>
              <w:spacing w:after="80" w:before="60" w:line="276" w:lineRule="auto"/>
            </w:pPr>
            <w:r>
              <w:rPr>
                <w:sz w:val="18"/>
              </w:rPr>
              <w:t>高温/高压可靠性、开关损耗、良率、客户认证</w:t>
            </w:r>
          </w:p>
        </w:tc>
        <w:tc>
          <w:tcPr>
            <w:tcW w:type="dxa" w:w="1206"/>
            <w:vAlign w:val="top"/>
          </w:tcPr>
          <w:p>
            <w:pPr>
              <w:spacing w:after="80" w:before="60" w:line="276" w:lineRule="auto"/>
            </w:pPr>
            <w:hyperlink r:id="rId68">
              <w:r>
                <w:rPr>
                  <w:color w:val="4338CA"/>
                </w:rPr>
                <w:t>[N005]</w:t>
              </w:r>
            </w:hyperlink>
          </w:p>
        </w:tc>
      </w:tr>
      <w:tr>
        <w:trPr>
          <w:cantSplit/>
        </w:trPr>
        <w:tc>
          <w:tcPr>
            <w:tcW w:type="dxa" w:w="1041"/>
            <w:vAlign w:val="top"/>
          </w:tcPr>
          <w:p>
            <w:pPr>
              <w:spacing w:after="80" w:before="60" w:line="276" w:lineRule="auto"/>
            </w:pPr>
            <w:r>
              <w:rPr>
                <w:sz w:val="18"/>
              </w:rPr>
              <w:t>电感/变压器/滤波</w:t>
            </w:r>
          </w:p>
        </w:tc>
        <w:tc>
          <w:tcPr>
            <w:tcW w:type="dxa" w:w="4549"/>
            <w:vAlign w:val="top"/>
          </w:tcPr>
          <w:p>
            <w:pPr>
              <w:spacing w:after="80" w:before="60" w:line="276" w:lineRule="auto"/>
            </w:pPr>
            <w:r>
              <w:rPr>
                <w:sz w:val="18"/>
              </w:rPr>
              <w:t>磁芯、绕组、功率电感、脉冲变压器、共模扼流圈；不是只有晶体管才能形成技术含量</w:t>
            </w:r>
          </w:p>
        </w:tc>
        <w:tc>
          <w:tcPr>
            <w:tcW w:type="dxa" w:w="3097"/>
            <w:vAlign w:val="top"/>
          </w:tcPr>
          <w:p>
            <w:pPr>
              <w:spacing w:after="80" w:before="60" w:line="276" w:lineRule="auto"/>
            </w:pPr>
            <w:r>
              <w:rPr>
                <w:sz w:val="18"/>
              </w:rPr>
              <w:t>饱和电流、磁损、温升、寄生参数、体积和供应稳定</w:t>
            </w:r>
          </w:p>
        </w:tc>
        <w:tc>
          <w:tcPr>
            <w:tcW w:type="dxa" w:w="1206"/>
            <w:vAlign w:val="top"/>
          </w:tcPr>
          <w:p>
            <w:pPr>
              <w:spacing w:after="80" w:before="60" w:line="276" w:lineRule="auto"/>
            </w:pPr>
            <w:hyperlink r:id="rId69">
              <w:r>
                <w:rPr>
                  <w:color w:val="4338CA"/>
                </w:rPr>
                <w:t>[N058]</w:t>
              </w:r>
            </w:hyperlink>
          </w:p>
        </w:tc>
      </w:tr>
      <w:tr>
        <w:trPr>
          <w:cantSplit/>
        </w:trPr>
        <w:tc>
          <w:tcPr>
            <w:tcW w:type="dxa" w:w="1041"/>
            <w:vAlign w:val="top"/>
          </w:tcPr>
          <w:p>
            <w:pPr>
              <w:spacing w:after="80" w:before="60" w:line="276" w:lineRule="auto"/>
            </w:pPr>
            <w:r>
              <w:rPr>
                <w:sz w:val="18"/>
              </w:rPr>
              <w:t>铜/铝导体和连接器</w:t>
            </w:r>
          </w:p>
        </w:tc>
        <w:tc>
          <w:tcPr>
            <w:tcW w:type="dxa" w:w="4549"/>
            <w:vAlign w:val="top"/>
          </w:tcPr>
          <w:p>
            <w:pPr>
              <w:spacing w:after="80" w:before="60" w:line="276" w:lineRule="auto"/>
            </w:pPr>
            <w:r>
              <w:rPr>
                <w:sz w:val="18"/>
              </w:rPr>
              <w:t>电缆、母线、表面处理、接点和绝缘构成连续导电路径</w:t>
            </w:r>
          </w:p>
        </w:tc>
        <w:tc>
          <w:tcPr>
            <w:tcW w:type="dxa" w:w="3097"/>
            <w:vAlign w:val="top"/>
          </w:tcPr>
          <w:p>
            <w:pPr>
              <w:spacing w:after="80" w:before="60" w:line="276" w:lineRule="auto"/>
            </w:pPr>
            <w:r>
              <w:rPr>
                <w:sz w:val="18"/>
              </w:rPr>
              <w:t>接触电阻、温升、机械插拔、装配误差、安规</w:t>
            </w:r>
          </w:p>
        </w:tc>
        <w:tc>
          <w:tcPr>
            <w:tcW w:type="dxa" w:w="1206"/>
            <w:vAlign w:val="top"/>
          </w:tcPr>
          <w:p>
            <w:pPr>
              <w:spacing w:after="80" w:before="60" w:line="276" w:lineRule="auto"/>
            </w:pPr>
            <w:hyperlink r:id="rId64">
              <w:r>
                <w:rPr>
                  <w:color w:val="4338CA"/>
                </w:rPr>
                <w:t>[N014]</w:t>
              </w:r>
            </w:hyperlink>
            <w:hyperlink r:id="rId65">
              <w:r>
                <w:rPr>
                  <w:color w:val="4338CA"/>
                </w:rPr>
                <w:t>[N060]</w:t>
              </w:r>
            </w:hyperlink>
          </w:p>
        </w:tc>
      </w:tr>
      <w:tr>
        <w:trPr>
          <w:cantSplit/>
        </w:trPr>
        <w:tc>
          <w:tcPr>
            <w:tcW w:type="dxa" w:w="1041"/>
            <w:vAlign w:val="top"/>
          </w:tcPr>
          <w:p>
            <w:pPr>
              <w:spacing w:after="80" w:before="60" w:line="276" w:lineRule="auto"/>
            </w:pPr>
            <w:r>
              <w:rPr>
                <w:sz w:val="18"/>
              </w:rPr>
              <w:t>电源模块封装</w:t>
            </w:r>
          </w:p>
        </w:tc>
        <w:tc>
          <w:tcPr>
            <w:tcW w:type="dxa" w:w="4549"/>
            <w:vAlign w:val="top"/>
          </w:tcPr>
          <w:p>
            <w:pPr>
              <w:spacing w:after="80" w:before="60" w:line="276" w:lineRule="auto"/>
            </w:pPr>
            <w:r>
              <w:rPr>
                <w:sz w:val="18"/>
              </w:rPr>
              <w:t>功率级、控制 IC、电感靠近负载；包含板顶、板底或垂直供电布局</w:t>
            </w:r>
          </w:p>
        </w:tc>
        <w:tc>
          <w:tcPr>
            <w:tcW w:type="dxa" w:w="3097"/>
            <w:vAlign w:val="top"/>
          </w:tcPr>
          <w:p>
            <w:pPr>
              <w:spacing w:after="80" w:before="60" w:line="276" w:lineRule="auto"/>
            </w:pPr>
            <w:r>
              <w:rPr>
                <w:sz w:val="18"/>
              </w:rPr>
              <w:t>电流路径缩短、寄生电感、可返修性、热机械耦合</w:t>
            </w:r>
          </w:p>
        </w:tc>
        <w:tc>
          <w:tcPr>
            <w:tcW w:type="dxa" w:w="1206"/>
            <w:vAlign w:val="top"/>
          </w:tcPr>
          <w:p>
            <w:pPr>
              <w:spacing w:after="80" w:before="60" w:line="276" w:lineRule="auto"/>
            </w:pPr>
            <w:hyperlink r:id="rId67">
              <w:r>
                <w:rPr>
                  <w:color w:val="4338CA"/>
                </w:rPr>
                <w:t>[N057]</w:t>
              </w:r>
            </w:hyperlink>
          </w:p>
        </w:tc>
      </w:tr>
      <w:tr>
        <w:trPr>
          <w:cantSplit/>
        </w:trPr>
        <w:tc>
          <w:tcPr>
            <w:tcW w:type="dxa" w:w="1041"/>
            <w:vAlign w:val="top"/>
          </w:tcPr>
          <w:p>
            <w:pPr>
              <w:spacing w:after="80" w:before="60" w:line="276" w:lineRule="auto"/>
            </w:pPr>
            <w:r>
              <w:rPr>
                <w:sz w:val="18"/>
              </w:rPr>
              <w:t>电气绝缘/阻燃</w:t>
            </w:r>
          </w:p>
        </w:tc>
        <w:tc>
          <w:tcPr>
            <w:tcW w:type="dxa" w:w="4549"/>
            <w:vAlign w:val="top"/>
          </w:tcPr>
          <w:p>
            <w:pPr>
              <w:spacing w:after="80" w:before="60" w:line="276" w:lineRule="auto"/>
            </w:pPr>
            <w:r>
              <w:rPr>
                <w:sz w:val="18"/>
              </w:rPr>
              <w:t>塑料、绝缘片、薄膜、陶瓷等与功率部件共同定义耐压和阻燃</w:t>
            </w:r>
          </w:p>
        </w:tc>
        <w:tc>
          <w:tcPr>
            <w:tcW w:type="dxa" w:w="3097"/>
            <w:vAlign w:val="top"/>
          </w:tcPr>
          <w:p>
            <w:pPr>
              <w:spacing w:after="80" w:before="60" w:line="276" w:lineRule="auto"/>
            </w:pPr>
            <w:r>
              <w:rPr>
                <w:sz w:val="18"/>
              </w:rPr>
              <w:t>材料本体性能与装配后的爬电距离、热老化同时达标</w:t>
            </w:r>
          </w:p>
        </w:tc>
        <w:tc>
          <w:tcPr>
            <w:tcW w:type="dxa" w:w="1206"/>
            <w:vAlign w:val="top"/>
          </w:tcPr>
          <w:p>
            <w:pPr>
              <w:spacing w:after="80" w:before="60" w:line="276" w:lineRule="auto"/>
            </w:pPr>
            <w:hyperlink r:id="rId54">
              <w:r>
                <w:rPr>
                  <w:color w:val="4338CA"/>
                </w:rPr>
                <w:t>[N004]</w:t>
              </w:r>
            </w:hyperlink>
            <w:hyperlink r:id="rId70">
              <w:r>
                <w:rPr>
                  <w:color w:val="4338CA"/>
                </w:rPr>
                <w:t>[N011]</w:t>
              </w:r>
            </w:hyperlink>
          </w:p>
        </w:tc>
      </w:tr>
    </w:tbl>
    <w:p>
      <w:pPr>
        <w:spacing w:after="0"/>
      </w:pPr>
    </w:p>
    <w:p>
      <w:pPr/>
      <w:r>
        <w:t>上述“壁垒落点”是本文的尽调指标，不是对任何公司的已验证独家能力判定。尤其磁性材料、连接器、绝缘与控制软件会成为高密度供电的共同限制；只统计 SiC/GaN 器件市场会漏掉系统 BOM。</w:t>
      </w:r>
      <w:hyperlink r:id="rId54">
        <w:r>
          <w:rPr>
            <w:color w:val="4338CA"/>
          </w:rPr>
          <w:t>[N004]</w:t>
        </w:r>
      </w:hyperlink>
      <w:hyperlink r:id="rId63">
        <w:r>
          <w:rPr>
            <w:color w:val="4338CA"/>
          </w:rPr>
          <w:t>[N006]</w:t>
        </w:r>
      </w:hyperlink>
      <w:hyperlink r:id="rId69">
        <w:r>
          <w:rPr>
            <w:color w:val="4338CA"/>
          </w:rPr>
          <w:t>[N058]</w:t>
        </w:r>
      </w:hyperlink>
    </w:p>
    <w:p>
      <w:pPr>
        <w:pStyle w:val="Heading2"/>
      </w:pPr>
      <w:r>
        <w:t>企业位置与投资检查</w:t>
      </w:r>
    </w:p>
    <w:p>
      <w:pPr/>
      <w:r>
        <w:t>供电不能只按公司国籍分赛道：Eaton 的中压开关柜扩产公告是设备制造和交付证据；华为/科华是电源系统集成；Delta 同时覆盖电源与冷却；Infineon/MPS 提供器件与模块；TDK 是磁性/无源元件。这些公司的订单、利润、认证周期和收入确认方式不同。</w:t>
      </w:r>
      <w:hyperlink r:id="rId61">
        <w:r>
          <w:rPr>
            <w:color w:val="4338CA"/>
          </w:rPr>
          <w:t>[N012]</w:t>
        </w:r>
      </w:hyperlink>
      <w:hyperlink r:id="rId71">
        <w:r>
          <w:rPr>
            <w:color w:val="4338CA"/>
          </w:rPr>
          <w:t>[N018]</w:t>
        </w:r>
      </w:hyperlink>
      <w:hyperlink r:id="rId56">
        <w:r>
          <w:rPr>
            <w:color w:val="4338CA"/>
          </w:rPr>
          <w:t>[N019]</w:t>
        </w:r>
      </w:hyperlink>
      <w:hyperlink r:id="rId72">
        <w:r>
          <w:rPr>
            <w:color w:val="4338CA"/>
          </w:rPr>
          <w:t>[N020]</w:t>
        </w:r>
      </w:hyperlink>
      <w:hyperlink r:id="rId68">
        <w:r>
          <w:rPr>
            <w:color w:val="4338CA"/>
          </w:rPr>
          <w:t>[N005]</w:t>
        </w:r>
      </w:hyperlink>
      <w:hyperlink r:id="rId67">
        <w:r>
          <w:rPr>
            <w:color w:val="4338CA"/>
          </w:rPr>
          <w:t>[N057]</w:t>
        </w:r>
      </w:hyperlink>
      <w:hyperlink r:id="rId69">
        <w:r>
          <w:rPr>
            <w:color w:val="4338CA"/>
          </w:rPr>
          <w:t>[N058]</w:t>
        </w:r>
      </w:hyperlink>
    </w:p>
    <w:p>
      <w:pPr/>
      <w:r>
        <w:rPr>
          <w:b/>
        </w:rPr>
        <w:t>推论：</w:t>
      </w:r>
      <w:r>
        <w:t xml:space="preserve"> 优先寻找“客户必须验收、失效代价高、生产扩容需要时间”的位置，再看市场已经给了多少估值。Eaton 2026-04-08 公告计划新厂在 2027 H1 投产，能证明扩产时间差，不能单独证明当前缺货价格或未来毛利率。现场应追问：积压订单中多少已锁定送电项目、取消条款、交付验收、预收款、扩产后价格和营运资本。</w:t>
      </w:r>
      <w:hyperlink r:id="rId61">
        <w:r>
          <w:rPr>
            <w:color w:val="4338CA"/>
          </w:rPr>
          <w:t>[N012]</w:t>
        </w:r>
      </w:hyperlink>
    </w:p>
    <w:p>
      <w:pPr>
        <w:pStyle w:val="Heading1"/>
        <w:pageBreakBefore/>
      </w:pPr>
      <w:r>
        <w:t>02B  热量怎样离开机柜 液冷、建设与运维</w:t>
      </w:r>
    </w:p>
    <w:p>
      <w:pPr>
        <w:pStyle w:val="Heading2"/>
      </w:pPr>
      <w:r>
        <w:t>三条环路不能混</w:t>
      </w:r>
    </w:p>
    <w:p>
      <w:pPr/>
      <w:r>
        <w:t>热路径依次是：芯片/封装→热界面材料 TIM→冷板→技术冷却环路 TCS→CDU 换热器→设施水环路 FWS→最终环境。液到液 CDU 通常隔离服务器侧与设施侧水质/压力，泵、过滤器、阀、传感器与控制形成完整产品；液到空气 CDU 则把热交给机房空气，不能凭“用了液冷”推定建筑端已经不需空调。</w:t>
      </w:r>
      <w:hyperlink r:id="rId57">
        <w:r>
          <w:rPr>
            <w:color w:val="4338CA"/>
          </w:rPr>
          <w:t>[N009]</w:t>
        </w:r>
      </w:hyperlink>
      <w:hyperlink r:id="rId70">
        <w:r>
          <w:rPr>
            <w:color w:val="4338CA"/>
          </w:rPr>
          <w:t>[N011]</w:t>
        </w:r>
      </w:hyperlink>
      <w:hyperlink r:id="rId73">
        <w:r>
          <w:rPr>
            <w:color w:val="4338CA"/>
          </w:rPr>
          <w:t>[N017]</w:t>
        </w:r>
      </w:hyperlink>
    </w:p>
    <w:p>
      <w:pPr/>
      <w:r>
        <w:t>冷板直冷和浸没冷却是不同路线：前者将液体封闭在冷板/管路内；后者把适配的器件浸于介电液体。两条路线的材料兼容性、维护、连接器、热设计和保修约束不同。采购决策需要验证整机配置，不应由单一介电液、泵或冷板的性能推导整套系统可用。</w:t>
      </w:r>
      <w:hyperlink r:id="rId58">
        <w:r>
          <w:rPr>
            <w:color w:val="4338CA"/>
          </w:rPr>
          <w:t>[N010]</w:t>
        </w:r>
      </w:hyperlink>
      <w:hyperlink r:id="rId73">
        <w:r>
          <w:rPr>
            <w:color w:val="4338CA"/>
          </w:rPr>
          <w:t>[N017]</w:t>
        </w:r>
      </w:hyperlink>
    </w:p>
    <w:p>
      <w:pPr/>
      <w:r>
        <w:t>高温供水能增加自然冷却机会，但不能简单宣称“温水液冷不耗水”。ASHRAE 的 W17/W27/W32/W40/W45/W+ 是供水温度能力分类；干冷器、冷却塔、冷机的选择仍受气候、湿球/干球、温差、设备允许温度和可用空间影响。</w:t>
      </w:r>
      <w:hyperlink r:id="rId74">
        <w:r>
          <w:rPr>
            <w:color w:val="4338CA"/>
          </w:rPr>
          <w:t>[N007]</w:t>
        </w:r>
      </w:hyperlink>
    </w:p>
    <w:p>
      <w:pPr>
        <w:pStyle w:val="Heading2"/>
      </w:pPr>
      <w:r>
        <w:t>液冷的逐层 BOM 和验收问题</w:t>
      </w:r>
    </w:p>
    <w:p>
      <w:pPr/>
      <w:r>
        <w:t>下表部件功能有资料支撑；验收栏是本文按失效机制建立的调查模板，不代表已经获得任一供应商的验收结果。</w:t>
      </w:r>
    </w:p>
    <w:tbl>
      <w:tblPr>
        <w:tblW w:type="auto" w:w="0"/>
        <w:jc w:val="center"/>
        <w:tblLayout w:type="fixed"/>
        <w:tblLook w:firstColumn="1" w:firstRow="1" w:lastColumn="0" w:lastRow="0" w:noHBand="0" w:noVBand="1" w:val="04A0"/>
      </w:tblPr>
      <w:tblGrid>
        <w:gridCol w:w="863"/>
        <w:gridCol w:w="3993"/>
        <w:gridCol w:w="3597"/>
        <w:gridCol w:w="1439"/>
      </w:tblGrid>
      <w:tr>
        <w:trPr>
          <w:tblHeader/>
        </w:trPr>
        <w:tc>
          <w:tcPr>
            <w:tcW w:type="dxa" w:w="863"/>
            <w:vAlign w:val="top"/>
            <w:shd w:fill="E0E7FF"/>
          </w:tcPr>
          <w:p>
            <w:pPr>
              <w:spacing w:after="80" w:before="60" w:line="276" w:lineRule="auto"/>
            </w:pPr>
            <w:r>
              <w:rPr>
                <w:b/>
                <w:sz w:val="18"/>
              </w:rPr>
              <w:t>位置</w:t>
            </w:r>
          </w:p>
        </w:tc>
        <w:tc>
          <w:tcPr>
            <w:tcW w:type="dxa" w:w="3993"/>
            <w:vAlign w:val="top"/>
            <w:shd w:fill="E0E7FF"/>
          </w:tcPr>
          <w:p>
            <w:pPr>
              <w:spacing w:after="80" w:before="60" w:line="276" w:lineRule="auto"/>
            </w:pPr>
            <w:r>
              <w:rPr>
                <w:b/>
                <w:sz w:val="18"/>
              </w:rPr>
              <w:t>部件、材料与制造能力</w:t>
            </w:r>
          </w:p>
        </w:tc>
        <w:tc>
          <w:tcPr>
            <w:tcW w:type="dxa" w:w="3597"/>
            <w:vAlign w:val="top"/>
            <w:shd w:fill="E0E7FF"/>
          </w:tcPr>
          <w:p>
            <w:pPr>
              <w:spacing w:after="80" w:before="60" w:line="276" w:lineRule="auto"/>
            </w:pPr>
            <w:r>
              <w:rPr>
                <w:b/>
                <w:sz w:val="18"/>
              </w:rPr>
              <w:t>必须核实的验收内容</w:t>
            </w:r>
          </w:p>
        </w:tc>
        <w:tc>
          <w:tcPr>
            <w:tcW w:type="dxa" w:w="1439"/>
            <w:vAlign w:val="top"/>
            <w:shd w:fill="E0E7FF"/>
          </w:tcPr>
          <w:p>
            <w:pPr>
              <w:spacing w:after="80" w:before="60" w:line="276" w:lineRule="auto"/>
            </w:pPr>
            <w:r>
              <w:rPr>
                <w:b/>
                <w:sz w:val="18"/>
              </w:rPr>
              <w:t>证据</w:t>
            </w:r>
          </w:p>
        </w:tc>
      </w:tr>
      <w:tr>
        <w:trPr>
          <w:cantSplit/>
        </w:trPr>
        <w:tc>
          <w:tcPr>
            <w:tcW w:type="dxa" w:w="863"/>
            <w:vAlign w:val="top"/>
          </w:tcPr>
          <w:p>
            <w:pPr>
              <w:spacing w:after="80" w:before="60" w:line="276" w:lineRule="auto"/>
            </w:pPr>
            <w:r>
              <w:rPr>
                <w:sz w:val="18"/>
              </w:rPr>
              <w:t>芯片接触面</w:t>
            </w:r>
          </w:p>
        </w:tc>
        <w:tc>
          <w:tcPr>
            <w:tcW w:type="dxa" w:w="3993"/>
            <w:vAlign w:val="top"/>
          </w:tcPr>
          <w:p>
            <w:pPr>
              <w:spacing w:after="80" w:before="60" w:line="276" w:lineRule="auto"/>
            </w:pPr>
            <w:r>
              <w:rPr>
                <w:sz w:val="18"/>
              </w:rPr>
              <w:t>TIM 填补微小接触空隙；导热片、膏/相变类材料须按实际配置选择</w:t>
            </w:r>
          </w:p>
        </w:tc>
        <w:tc>
          <w:tcPr>
            <w:tcW w:type="dxa" w:w="3597"/>
            <w:vAlign w:val="top"/>
          </w:tcPr>
          <w:p>
            <w:pPr>
              <w:spacing w:after="80" w:before="60" w:line="276" w:lineRule="auto"/>
            </w:pPr>
            <w:r>
              <w:rPr>
                <w:sz w:val="18"/>
              </w:rPr>
              <w:t>接触热阻、压力、老化、泵出、返修流程；不能只看材料导热率</w:t>
            </w:r>
          </w:p>
        </w:tc>
        <w:tc>
          <w:tcPr>
            <w:tcW w:type="dxa" w:w="1439"/>
            <w:vAlign w:val="top"/>
          </w:tcPr>
          <w:p>
            <w:pPr>
              <w:spacing w:after="80" w:before="60" w:line="276" w:lineRule="auto"/>
            </w:pPr>
            <w:hyperlink r:id="rId70">
              <w:r>
                <w:rPr>
                  <w:color w:val="4338CA"/>
                </w:rPr>
                <w:t>[N011]</w:t>
              </w:r>
            </w:hyperlink>
          </w:p>
        </w:tc>
      </w:tr>
      <w:tr>
        <w:trPr>
          <w:cantSplit/>
        </w:trPr>
        <w:tc>
          <w:tcPr>
            <w:tcW w:type="dxa" w:w="863"/>
            <w:vAlign w:val="top"/>
          </w:tcPr>
          <w:p>
            <w:pPr>
              <w:spacing w:after="80" w:before="60" w:line="276" w:lineRule="auto"/>
            </w:pPr>
            <w:r>
              <w:rPr>
                <w:sz w:val="18"/>
              </w:rPr>
              <w:t>冷板</w:t>
            </w:r>
          </w:p>
        </w:tc>
        <w:tc>
          <w:tcPr>
            <w:tcW w:type="dxa" w:w="3993"/>
            <w:vAlign w:val="top"/>
          </w:tcPr>
          <w:p>
            <w:pPr>
              <w:spacing w:after="80" w:before="60" w:line="276" w:lineRule="auto"/>
            </w:pPr>
            <w:r>
              <w:rPr>
                <w:sz w:val="18"/>
              </w:rPr>
              <w:t>铜/铝等导热结构、流道、密封、连接口；设计与加工共同决定热阻和压降</w:t>
            </w:r>
          </w:p>
        </w:tc>
        <w:tc>
          <w:tcPr>
            <w:tcW w:type="dxa" w:w="3597"/>
            <w:vAlign w:val="top"/>
          </w:tcPr>
          <w:p>
            <w:pPr>
              <w:spacing w:after="80" w:before="60" w:line="276" w:lineRule="auto"/>
            </w:pPr>
            <w:r>
              <w:rPr>
                <w:sz w:val="18"/>
              </w:rPr>
              <w:t>指定流量/温度下热阻、均流、压降、污染容忍度、泄漏和耐压</w:t>
            </w:r>
          </w:p>
        </w:tc>
        <w:tc>
          <w:tcPr>
            <w:tcW w:type="dxa" w:w="1439"/>
            <w:vAlign w:val="top"/>
          </w:tcPr>
          <w:p>
            <w:pPr>
              <w:spacing w:after="80" w:before="60" w:line="276" w:lineRule="auto"/>
            </w:pPr>
            <w:hyperlink r:id="rId58">
              <w:r>
                <w:rPr>
                  <w:color w:val="4338CA"/>
                </w:rPr>
                <w:t>[N010]</w:t>
              </w:r>
            </w:hyperlink>
            <w:hyperlink r:id="rId75">
              <w:r>
                <w:rPr>
                  <w:color w:val="4338CA"/>
                </w:rPr>
                <w:t>[N055]</w:t>
              </w:r>
            </w:hyperlink>
          </w:p>
        </w:tc>
      </w:tr>
      <w:tr>
        <w:trPr>
          <w:cantSplit/>
        </w:trPr>
        <w:tc>
          <w:tcPr>
            <w:tcW w:type="dxa" w:w="863"/>
            <w:vAlign w:val="top"/>
          </w:tcPr>
          <w:p>
            <w:pPr>
              <w:spacing w:after="80" w:before="60" w:line="276" w:lineRule="auto"/>
            </w:pPr>
            <w:r>
              <w:rPr>
                <w:sz w:val="18"/>
              </w:rPr>
              <w:t>机架管路</w:t>
            </w:r>
          </w:p>
        </w:tc>
        <w:tc>
          <w:tcPr>
            <w:tcW w:type="dxa" w:w="3993"/>
            <w:vAlign w:val="top"/>
          </w:tcPr>
          <w:p>
            <w:pPr>
              <w:spacing w:after="80" w:before="60" w:line="276" w:lineRule="auto"/>
            </w:pPr>
            <w:r>
              <w:rPr>
                <w:sz w:val="18"/>
              </w:rPr>
              <w:t>供回水歧管 manifold、软管、快接 QD、盲插、阀和接头</w:t>
            </w:r>
          </w:p>
        </w:tc>
        <w:tc>
          <w:tcPr>
            <w:tcW w:type="dxa" w:w="3597"/>
            <w:vAlign w:val="top"/>
          </w:tcPr>
          <w:p>
            <w:pPr>
              <w:spacing w:after="80" w:before="60" w:line="276" w:lineRule="auto"/>
            </w:pPr>
            <w:r>
              <w:rPr>
                <w:sz w:val="18"/>
              </w:rPr>
              <w:t>插拔寿命、残液/泄漏、液体兼容性、误插防护、热插拔维护</w:t>
            </w:r>
          </w:p>
        </w:tc>
        <w:tc>
          <w:tcPr>
            <w:tcW w:type="dxa" w:w="1439"/>
            <w:vAlign w:val="top"/>
          </w:tcPr>
          <w:p>
            <w:pPr>
              <w:spacing w:after="80" w:before="60" w:line="276" w:lineRule="auto"/>
            </w:pPr>
            <w:hyperlink r:id="rId58">
              <w:r>
                <w:rPr>
                  <w:color w:val="4338CA"/>
                </w:rPr>
                <w:t>[N010]</w:t>
              </w:r>
            </w:hyperlink>
            <w:hyperlink r:id="rId73">
              <w:r>
                <w:rPr>
                  <w:color w:val="4338CA"/>
                </w:rPr>
                <w:t>[N017]</w:t>
              </w:r>
            </w:hyperlink>
          </w:p>
        </w:tc>
      </w:tr>
      <w:tr>
        <w:trPr>
          <w:cantSplit/>
        </w:trPr>
        <w:tc>
          <w:tcPr>
            <w:tcW w:type="dxa" w:w="863"/>
            <w:vAlign w:val="top"/>
          </w:tcPr>
          <w:p>
            <w:pPr>
              <w:spacing w:after="80" w:before="60" w:line="276" w:lineRule="auto"/>
            </w:pPr>
            <w:r>
              <w:rPr>
                <w:sz w:val="18"/>
              </w:rPr>
              <w:t>CDU</w:t>
            </w:r>
          </w:p>
        </w:tc>
        <w:tc>
          <w:tcPr>
            <w:tcW w:type="dxa" w:w="3993"/>
            <w:vAlign w:val="top"/>
          </w:tcPr>
          <w:p>
            <w:pPr>
              <w:spacing w:after="80" w:before="60" w:line="276" w:lineRule="auto"/>
            </w:pPr>
            <w:r>
              <w:rPr>
                <w:sz w:val="18"/>
              </w:rPr>
              <w:t>泵、板式换热器、过滤器、传感器、控制、冗余电源及接口</w:t>
            </w:r>
          </w:p>
        </w:tc>
        <w:tc>
          <w:tcPr>
            <w:tcW w:type="dxa" w:w="3597"/>
            <w:vAlign w:val="top"/>
          </w:tcPr>
          <w:p>
            <w:pPr>
              <w:spacing w:after="80" w:before="60" w:line="276" w:lineRule="auto"/>
            </w:pPr>
            <w:r>
              <w:rPr>
                <w:sz w:val="18"/>
              </w:rPr>
              <w:t>冗余切换、流量/压差控制、传感器故障、过滤与维护、告警联动</w:t>
            </w:r>
          </w:p>
        </w:tc>
        <w:tc>
          <w:tcPr>
            <w:tcW w:type="dxa" w:w="1439"/>
            <w:vAlign w:val="top"/>
          </w:tcPr>
          <w:p>
            <w:pPr>
              <w:spacing w:after="80" w:before="60" w:line="276" w:lineRule="auto"/>
            </w:pPr>
            <w:hyperlink r:id="rId76">
              <w:r>
                <w:rPr>
                  <w:color w:val="4338CA"/>
                </w:rPr>
                <w:t>[N008]</w:t>
              </w:r>
            </w:hyperlink>
            <w:hyperlink r:id="rId57">
              <w:r>
                <w:rPr>
                  <w:color w:val="4338CA"/>
                </w:rPr>
                <w:t>[N009]</w:t>
              </w:r>
            </w:hyperlink>
          </w:p>
        </w:tc>
      </w:tr>
      <w:tr>
        <w:trPr>
          <w:cantSplit/>
        </w:trPr>
        <w:tc>
          <w:tcPr>
            <w:tcW w:type="dxa" w:w="863"/>
            <w:vAlign w:val="top"/>
          </w:tcPr>
          <w:p>
            <w:pPr>
              <w:spacing w:after="80" w:before="60" w:line="276" w:lineRule="auto"/>
            </w:pPr>
            <w:r>
              <w:rPr>
                <w:sz w:val="18"/>
              </w:rPr>
              <w:t>二次液体</w:t>
            </w:r>
          </w:p>
        </w:tc>
        <w:tc>
          <w:tcPr>
            <w:tcW w:type="dxa" w:w="3993"/>
            <w:vAlign w:val="top"/>
          </w:tcPr>
          <w:p>
            <w:pPr>
              <w:spacing w:after="80" w:before="60" w:line="276" w:lineRule="auto"/>
            </w:pPr>
            <w:r>
              <w:rPr>
                <w:sz w:val="18"/>
              </w:rPr>
              <w:t>水/乙二醇等指定配方，添加剂与所有金属/聚合物接液材料协同</w:t>
            </w:r>
          </w:p>
        </w:tc>
        <w:tc>
          <w:tcPr>
            <w:tcW w:type="dxa" w:w="3597"/>
            <w:vAlign w:val="top"/>
          </w:tcPr>
          <w:p>
            <w:pPr>
              <w:spacing w:after="80" w:before="60" w:line="276" w:lineRule="auto"/>
            </w:pPr>
            <w:r>
              <w:rPr>
                <w:sz w:val="18"/>
              </w:rPr>
              <w:t>pH、电导率、颗粒、腐蚀、微生物；DI 水不能当作永远绝缘</w:t>
            </w:r>
          </w:p>
        </w:tc>
        <w:tc>
          <w:tcPr>
            <w:tcW w:type="dxa" w:w="1439"/>
            <w:vAlign w:val="top"/>
          </w:tcPr>
          <w:p>
            <w:pPr>
              <w:spacing w:after="80" w:before="60" w:line="276" w:lineRule="auto"/>
            </w:pPr>
            <w:hyperlink r:id="rId76">
              <w:r>
                <w:rPr>
                  <w:color w:val="4338CA"/>
                </w:rPr>
                <w:t>[N008]</w:t>
              </w:r>
            </w:hyperlink>
            <w:hyperlink r:id="rId58">
              <w:r>
                <w:rPr>
                  <w:color w:val="4338CA"/>
                </w:rPr>
                <w:t>[N010]</w:t>
              </w:r>
            </w:hyperlink>
          </w:p>
        </w:tc>
      </w:tr>
      <w:tr>
        <w:trPr>
          <w:cantSplit/>
        </w:trPr>
        <w:tc>
          <w:tcPr>
            <w:tcW w:type="dxa" w:w="863"/>
            <w:vAlign w:val="top"/>
          </w:tcPr>
          <w:p>
            <w:pPr>
              <w:spacing w:after="80" w:before="60" w:line="276" w:lineRule="auto"/>
            </w:pPr>
            <w:r>
              <w:rPr>
                <w:sz w:val="18"/>
              </w:rPr>
              <w:t>建筑端</w:t>
            </w:r>
          </w:p>
        </w:tc>
        <w:tc>
          <w:tcPr>
            <w:tcW w:type="dxa" w:w="3993"/>
            <w:vAlign w:val="top"/>
          </w:tcPr>
          <w:p>
            <w:pPr>
              <w:spacing w:after="80" w:before="60" w:line="276" w:lineRule="auto"/>
            </w:pPr>
            <w:r>
              <w:rPr>
                <w:sz w:val="18"/>
              </w:rPr>
              <w:t>水泵、水管、阀、蓄冷、冷机、冷却塔、干冷器；与 TCS 边界清楚</w:t>
            </w:r>
          </w:p>
        </w:tc>
        <w:tc>
          <w:tcPr>
            <w:tcW w:type="dxa" w:w="3597"/>
            <w:vAlign w:val="top"/>
          </w:tcPr>
          <w:p>
            <w:pPr>
              <w:spacing w:after="80" w:before="60" w:line="276" w:lineRule="auto"/>
            </w:pPr>
            <w:r>
              <w:rPr>
                <w:sz w:val="18"/>
              </w:rPr>
              <w:t>最坏气象、部分负载、泵/冷机故障、可维修与剩余风冷负载</w:t>
            </w:r>
          </w:p>
        </w:tc>
        <w:tc>
          <w:tcPr>
            <w:tcW w:type="dxa" w:w="1439"/>
            <w:vAlign w:val="top"/>
          </w:tcPr>
          <w:p>
            <w:pPr>
              <w:spacing w:after="80" w:before="60" w:line="276" w:lineRule="auto"/>
            </w:pPr>
            <w:hyperlink r:id="rId74">
              <w:r>
                <w:rPr>
                  <w:color w:val="4338CA"/>
                </w:rPr>
                <w:t>[N007]</w:t>
              </w:r>
            </w:hyperlink>
            <w:hyperlink r:id="rId55">
              <w:r>
                <w:rPr>
                  <w:color w:val="4338CA"/>
                </w:rPr>
                <w:t>[N013]</w:t>
              </w:r>
            </w:hyperlink>
          </w:p>
        </w:tc>
      </w:tr>
      <w:tr>
        <w:trPr>
          <w:cantSplit/>
        </w:trPr>
        <w:tc>
          <w:tcPr>
            <w:tcW w:type="dxa" w:w="863"/>
            <w:vAlign w:val="top"/>
          </w:tcPr>
          <w:p>
            <w:pPr>
              <w:spacing w:after="80" w:before="60" w:line="276" w:lineRule="auto"/>
            </w:pPr>
            <w:r>
              <w:rPr>
                <w:sz w:val="18"/>
              </w:rPr>
              <w:t>监测与控制</w:t>
            </w:r>
          </w:p>
        </w:tc>
        <w:tc>
          <w:tcPr>
            <w:tcW w:type="dxa" w:w="3993"/>
            <w:vAlign w:val="top"/>
          </w:tcPr>
          <w:p>
            <w:pPr>
              <w:spacing w:after="80" w:before="60" w:line="276" w:lineRule="auto"/>
            </w:pPr>
            <w:r>
              <w:rPr>
                <w:sz w:val="18"/>
              </w:rPr>
              <w:t>漏液、露点、温度、流量、压差、设备/BMS/DCIM 接口</w:t>
            </w:r>
          </w:p>
        </w:tc>
        <w:tc>
          <w:tcPr>
            <w:tcW w:type="dxa" w:w="3597"/>
            <w:vAlign w:val="top"/>
          </w:tcPr>
          <w:p>
            <w:pPr>
              <w:spacing w:after="80" w:before="60" w:line="276" w:lineRule="auto"/>
            </w:pPr>
            <w:r>
              <w:rPr>
                <w:sz w:val="18"/>
              </w:rPr>
              <w:t>报警、隔离、关阀、降功率、停机动作的先后和演练</w:t>
            </w:r>
          </w:p>
        </w:tc>
        <w:tc>
          <w:tcPr>
            <w:tcW w:type="dxa" w:w="1439"/>
            <w:vAlign w:val="top"/>
          </w:tcPr>
          <w:p>
            <w:pPr>
              <w:spacing w:after="80" w:before="60" w:line="276" w:lineRule="auto"/>
            </w:pPr>
            <w:hyperlink r:id="rId76">
              <w:r>
                <w:rPr>
                  <w:color w:val="4338CA"/>
                </w:rPr>
                <w:t>[N008]</w:t>
              </w:r>
            </w:hyperlink>
            <w:hyperlink r:id="rId55">
              <w:r>
                <w:rPr>
                  <w:color w:val="4338CA"/>
                </w:rPr>
                <w:t>[N013]</w:t>
              </w:r>
            </w:hyperlink>
          </w:p>
        </w:tc>
      </w:tr>
    </w:tbl>
    <w:p>
      <w:pPr>
        <w:spacing w:after="0"/>
      </w:pPr>
    </w:p>
    <w:p>
      <w:pPr/>
      <w:r>
        <w:rPr>
          <w:b/>
        </w:rPr>
        <w:t>本文推论：</w:t>
      </w:r>
      <w:r>
        <w:t xml:space="preserve"> 冷板的微细流道越依赖高传热，颗粒、压降、材料腐蚀和维护策略就越不能分开评估。设备商声称的 MW 通常要附设施供水温度、技术侧进出口温差、流量和冗余条件；不同条件的铭牌容量不能直接排名。</w:t>
      </w:r>
      <w:hyperlink r:id="rId76">
        <w:r>
          <w:rPr>
            <w:color w:val="4338CA"/>
          </w:rPr>
          <w:t>[N008]</w:t>
        </w:r>
      </w:hyperlink>
      <w:hyperlink r:id="rId58">
        <w:r>
          <w:rPr>
            <w:color w:val="4338CA"/>
          </w:rPr>
          <w:t>[N010]</w:t>
        </w:r>
      </w:hyperlink>
      <w:hyperlink r:id="rId77">
        <w:r>
          <w:rPr>
            <w:color w:val="4338CA"/>
          </w:rPr>
          <w:t>[N054]</w:t>
        </w:r>
      </w:hyperlink>
    </w:p>
    <w:p>
      <w:pPr/>
      <w:r>
        <w:t>CoolIT 2026 年 CHx2000 产品说明覆盖泵、过滤、传感器和控制；Vertiv XDU1350 规划文件列出液体质量监测选项、过滤和通讯接口。两者都说明 CDU 的价值不只是“一个换热器”。厂商的最高密度、最低功耗等相对宣传仍须在同工况下验证。</w:t>
      </w:r>
      <w:hyperlink r:id="rId76">
        <w:r>
          <w:rPr>
            <w:color w:val="4338CA"/>
          </w:rPr>
          <w:t>[N008]</w:t>
        </w:r>
      </w:hyperlink>
      <w:hyperlink r:id="rId77">
        <w:r>
          <w:rPr>
            <w:color w:val="4338CA"/>
          </w:rPr>
          <w:t>[N054]</w:t>
        </w:r>
      </w:hyperlink>
    </w:p>
    <w:p>
      <w:pPr>
        <w:pStyle w:val="Heading2"/>
      </w:pPr>
      <w:r>
        <w:t>用一个小算例看工程约束</w:t>
      </w:r>
    </w:p>
    <w:p>
      <w:pPr/>
      <w:r>
        <w:t>假设 1 MW 热量全部进入水环路，水比热取约 4.18 kJ/(kg·K)，供回水温差假定 10K。按 Q=ṁcₚΔT，所需流量约 23.9 kg/s，即约 86 m³/h；这只是热平衡示例，未计液体配方、旁通、残余风冷与冗余。泵选型还要结合整条管路压降，所以“1 MW CDU”与“1 MW GPU”不是自动一对一。</w:t>
      </w:r>
      <w:hyperlink r:id="rId57">
        <w:r>
          <w:rPr>
            <w:color w:val="4338CA"/>
          </w:rPr>
          <w:t>[N009]</w:t>
        </w:r>
      </w:hyperlink>
      <w:hyperlink r:id="rId58">
        <w:r>
          <w:rPr>
            <w:color w:val="4338CA"/>
          </w:rPr>
          <w:t>[N010]</w:t>
        </w:r>
      </w:hyperlink>
      <w:r>
        <w:t>（本文示例计算）</w:t>
      </w:r>
    </w:p>
    <w:p>
      <w:pPr/>
      <w:r>
        <w:t>进一步假设一台机架 100 kW、热捕获率 80%，则还有约 20 kW 留给空气路径。这个算例用于检查容量边界，不代表任何具体 NVIDIA 产品。重要问题是每一类发热件有没有被冷却、停泵多久触发降频、UPS 是否也保障泵与控制，而非只问冷板覆盖了多少芯片。</w:t>
      </w:r>
      <w:hyperlink r:id="rId58">
        <w:r>
          <w:rPr>
            <w:color w:val="4338CA"/>
          </w:rPr>
          <w:t>[N010]</w:t>
        </w:r>
      </w:hyperlink>
      <w:hyperlink r:id="rId55">
        <w:r>
          <w:rPr>
            <w:color w:val="4338CA"/>
          </w:rPr>
          <w:t>[N013]</w:t>
        </w:r>
      </w:hyperlink>
      <w:r>
        <w:t>（本文示例计算）</w:t>
      </w:r>
    </w:p>
    <w:p>
      <w:pPr>
        <w:pStyle w:val="Heading2"/>
      </w:pPr>
      <w:r>
        <w:t>建设依赖图 土地不是机房交付</w:t>
      </w:r>
    </w:p>
    <w:tbl>
      <w:tblPr>
        <w:tblW w:type="auto" w:w="0"/>
        <w:jc w:val="center"/>
        <w:tblLayout w:type="fixed"/>
        <w:tblLook w:firstColumn="1" w:firstRow="1" w:lastColumn="0" w:lastRow="0" w:noHBand="0" w:noVBand="1" w:val="04A0"/>
      </w:tblPr>
      <w:tblGrid>
        <w:gridCol w:w="877"/>
        <w:gridCol w:w="2421"/>
        <w:gridCol w:w="2400"/>
        <w:gridCol w:w="2651"/>
        <w:gridCol w:w="1544"/>
      </w:tblGrid>
      <w:tr>
        <w:trPr>
          <w:tblHeader/>
        </w:trPr>
        <w:tc>
          <w:tcPr>
            <w:tcW w:type="dxa" w:w="877"/>
            <w:vAlign w:val="top"/>
            <w:shd w:fill="E0E7FF"/>
          </w:tcPr>
          <w:p>
            <w:pPr>
              <w:spacing w:after="80" w:before="60" w:line="276" w:lineRule="auto"/>
            </w:pPr>
            <w:r>
              <w:rPr>
                <w:b/>
                <w:sz w:val="16"/>
              </w:rPr>
              <w:t>阶段</w:t>
            </w:r>
          </w:p>
        </w:tc>
        <w:tc>
          <w:tcPr>
            <w:tcW w:type="dxa" w:w="2421"/>
            <w:vAlign w:val="top"/>
            <w:shd w:fill="E0E7FF"/>
          </w:tcPr>
          <w:p>
            <w:pPr>
              <w:spacing w:after="80" w:before="60" w:line="276" w:lineRule="auto"/>
            </w:pPr>
            <w:r>
              <w:rPr>
                <w:b/>
                <w:sz w:val="16"/>
              </w:rPr>
              <w:t>交付物</w:t>
            </w:r>
          </w:p>
        </w:tc>
        <w:tc>
          <w:tcPr>
            <w:tcW w:type="dxa" w:w="2400"/>
            <w:vAlign w:val="top"/>
            <w:shd w:fill="E0E7FF"/>
          </w:tcPr>
          <w:p>
            <w:pPr>
              <w:spacing w:after="80" w:before="60" w:line="276" w:lineRule="auto"/>
            </w:pPr>
            <w:r>
              <w:rPr>
                <w:b/>
                <w:sz w:val="16"/>
              </w:rPr>
              <w:t>主要供应/服务</w:t>
            </w:r>
          </w:p>
        </w:tc>
        <w:tc>
          <w:tcPr>
            <w:tcW w:type="dxa" w:w="2651"/>
            <w:vAlign w:val="top"/>
            <w:shd w:fill="E0E7FF"/>
          </w:tcPr>
          <w:p>
            <w:pPr>
              <w:spacing w:after="80" w:before="60" w:line="276" w:lineRule="auto"/>
            </w:pPr>
            <w:r>
              <w:rPr>
                <w:b/>
                <w:sz w:val="16"/>
              </w:rPr>
              <w:t>易漏掉的约束</w:t>
            </w:r>
          </w:p>
        </w:tc>
        <w:tc>
          <w:tcPr>
            <w:tcW w:type="dxa" w:w="1544"/>
            <w:vAlign w:val="top"/>
            <w:shd w:fill="E0E7FF"/>
          </w:tcPr>
          <w:p>
            <w:pPr>
              <w:spacing w:after="80" w:before="60" w:line="276" w:lineRule="auto"/>
            </w:pPr>
            <w:r>
              <w:rPr>
                <w:b/>
                <w:sz w:val="16"/>
              </w:rPr>
              <w:t>证据</w:t>
            </w:r>
          </w:p>
        </w:tc>
      </w:tr>
      <w:tr>
        <w:trPr>
          <w:cantSplit/>
        </w:trPr>
        <w:tc>
          <w:tcPr>
            <w:tcW w:type="dxa" w:w="877"/>
            <w:vAlign w:val="top"/>
          </w:tcPr>
          <w:p>
            <w:pPr>
              <w:spacing w:after="80" w:before="60" w:line="276" w:lineRule="auto"/>
            </w:pPr>
            <w:r>
              <w:rPr>
                <w:sz w:val="16"/>
              </w:rPr>
              <w:t>选址/许可</w:t>
            </w:r>
          </w:p>
        </w:tc>
        <w:tc>
          <w:tcPr>
            <w:tcW w:type="dxa" w:w="2421"/>
            <w:vAlign w:val="top"/>
          </w:tcPr>
          <w:p>
            <w:pPr>
              <w:spacing w:after="80" w:before="60" w:line="276" w:lineRule="auto"/>
            </w:pPr>
            <w:r>
              <w:rPr>
                <w:sz w:val="16"/>
              </w:rPr>
              <w:t>电力接入、土地、用水、光纤路由、施工/环境条件</w:t>
            </w:r>
          </w:p>
        </w:tc>
        <w:tc>
          <w:tcPr>
            <w:tcW w:type="dxa" w:w="2400"/>
            <w:vAlign w:val="top"/>
          </w:tcPr>
          <w:p>
            <w:pPr>
              <w:spacing w:after="80" w:before="60" w:line="276" w:lineRule="auto"/>
            </w:pPr>
            <w:r>
              <w:rPr>
                <w:sz w:val="16"/>
              </w:rPr>
              <w:t>开发商、电网、地方政府、工程顾问</w:t>
            </w:r>
          </w:p>
        </w:tc>
        <w:tc>
          <w:tcPr>
            <w:tcW w:type="dxa" w:w="2651"/>
            <w:vAlign w:val="top"/>
          </w:tcPr>
          <w:p>
            <w:pPr>
              <w:spacing w:after="80" w:before="60" w:line="276" w:lineRule="auto"/>
            </w:pPr>
            <w:r>
              <w:rPr>
                <w:sz w:val="16"/>
              </w:rPr>
              <w:t>电源与光缆“路由不同”是否实际共沟；社区/许可时间</w:t>
            </w:r>
          </w:p>
        </w:tc>
        <w:tc>
          <w:tcPr>
            <w:tcW w:type="dxa" w:w="1544"/>
            <w:vAlign w:val="top"/>
          </w:tcPr>
          <w:p>
            <w:pPr>
              <w:spacing w:after="80" w:before="60" w:line="276" w:lineRule="auto"/>
            </w:pPr>
            <w:hyperlink r:id="rId60">
              <w:r>
                <w:rPr>
                  <w:color w:val="4338CA"/>
                </w:rPr>
                <w:t>[N001]</w:t>
              </w:r>
            </w:hyperlink>
            <w:hyperlink r:id="rId55">
              <w:r>
                <w:rPr>
                  <w:color w:val="4338CA"/>
                </w:rPr>
                <w:t>[N013]</w:t>
              </w:r>
            </w:hyperlink>
          </w:p>
        </w:tc>
      </w:tr>
      <w:tr>
        <w:trPr>
          <w:cantSplit/>
        </w:trPr>
        <w:tc>
          <w:tcPr>
            <w:tcW w:type="dxa" w:w="877"/>
            <w:vAlign w:val="top"/>
          </w:tcPr>
          <w:p>
            <w:pPr>
              <w:spacing w:after="80" w:before="60" w:line="276" w:lineRule="auto"/>
            </w:pPr>
            <w:r>
              <w:rPr>
                <w:sz w:val="16"/>
              </w:rPr>
              <w:t>土建/结构</w:t>
            </w:r>
          </w:p>
        </w:tc>
        <w:tc>
          <w:tcPr>
            <w:tcW w:type="dxa" w:w="2421"/>
            <w:vAlign w:val="top"/>
          </w:tcPr>
          <w:p>
            <w:pPr>
              <w:spacing w:after="80" w:before="60" w:line="276" w:lineRule="auto"/>
            </w:pPr>
            <w:r>
              <w:rPr>
                <w:sz w:val="16"/>
              </w:rPr>
              <w:t>建筑、楼板/基础、抗震、屋面、装卸、吊装</w:t>
            </w:r>
          </w:p>
        </w:tc>
        <w:tc>
          <w:tcPr>
            <w:tcW w:type="dxa" w:w="2400"/>
            <w:vAlign w:val="top"/>
          </w:tcPr>
          <w:p>
            <w:pPr>
              <w:spacing w:after="80" w:before="60" w:line="276" w:lineRule="auto"/>
            </w:pPr>
            <w:r>
              <w:rPr>
                <w:sz w:val="16"/>
              </w:rPr>
              <w:t>总包、结构/岩土工程、钢材/混凝土</w:t>
            </w:r>
          </w:p>
        </w:tc>
        <w:tc>
          <w:tcPr>
            <w:tcW w:type="dxa" w:w="2651"/>
            <w:vAlign w:val="top"/>
          </w:tcPr>
          <w:p>
            <w:pPr>
              <w:spacing w:after="80" w:before="60" w:line="276" w:lineRule="auto"/>
            </w:pPr>
            <w:r>
              <w:rPr>
                <w:sz w:val="16"/>
              </w:rPr>
              <w:t>满液机柜重量、冷却设备荷载、设备更换通道</w:t>
            </w:r>
          </w:p>
        </w:tc>
        <w:tc>
          <w:tcPr>
            <w:tcW w:type="dxa" w:w="1544"/>
            <w:vAlign w:val="top"/>
          </w:tcPr>
          <w:p>
            <w:pPr>
              <w:spacing w:after="80" w:before="60" w:line="276" w:lineRule="auto"/>
            </w:pPr>
            <w:hyperlink r:id="rId78">
              <w:r>
                <w:rPr>
                  <w:color w:val="4338CA"/>
                </w:rPr>
                <w:t>[N092]</w:t>
              </w:r>
            </w:hyperlink>
          </w:p>
        </w:tc>
      </w:tr>
      <w:tr>
        <w:trPr>
          <w:cantSplit/>
        </w:trPr>
        <w:tc>
          <w:tcPr>
            <w:tcW w:type="dxa" w:w="877"/>
            <w:vAlign w:val="top"/>
          </w:tcPr>
          <w:p>
            <w:pPr>
              <w:spacing w:after="80" w:before="60" w:line="276" w:lineRule="auto"/>
            </w:pPr>
            <w:r>
              <w:rPr>
                <w:sz w:val="16"/>
              </w:rPr>
              <w:t>机电 MEP</w:t>
            </w:r>
          </w:p>
        </w:tc>
        <w:tc>
          <w:tcPr>
            <w:tcW w:type="dxa" w:w="2421"/>
            <w:vAlign w:val="top"/>
          </w:tcPr>
          <w:p>
            <w:pPr>
              <w:spacing w:after="80" w:before="60" w:line="276" w:lineRule="auto"/>
            </w:pPr>
            <w:r>
              <w:rPr>
                <w:sz w:val="16"/>
              </w:rPr>
              <w:t>变电、配电、制冷、管线、消防、监控</w:t>
            </w:r>
          </w:p>
        </w:tc>
        <w:tc>
          <w:tcPr>
            <w:tcW w:type="dxa" w:w="2400"/>
            <w:vAlign w:val="top"/>
          </w:tcPr>
          <w:p>
            <w:pPr>
              <w:spacing w:after="80" w:before="60" w:line="276" w:lineRule="auto"/>
            </w:pPr>
            <w:r>
              <w:rPr>
                <w:sz w:val="16"/>
              </w:rPr>
              <w:t>电气/HVAC/消防承包商、设备厂</w:t>
            </w:r>
          </w:p>
        </w:tc>
        <w:tc>
          <w:tcPr>
            <w:tcW w:type="dxa" w:w="2651"/>
            <w:vAlign w:val="top"/>
          </w:tcPr>
          <w:p>
            <w:pPr>
              <w:spacing w:after="80" w:before="60" w:line="276" w:lineRule="auto"/>
            </w:pPr>
            <w:r>
              <w:rPr>
                <w:sz w:val="16"/>
              </w:rPr>
              <w:t>并行系统之间的接口和联锁</w:t>
            </w:r>
          </w:p>
        </w:tc>
        <w:tc>
          <w:tcPr>
            <w:tcW w:type="dxa" w:w="1544"/>
            <w:vAlign w:val="top"/>
          </w:tcPr>
          <w:p>
            <w:pPr>
              <w:spacing w:after="80" w:before="60" w:line="276" w:lineRule="auto"/>
            </w:pPr>
            <w:hyperlink r:id="rId55">
              <w:r>
                <w:rPr>
                  <w:color w:val="4338CA"/>
                </w:rPr>
                <w:t>[N013]</w:t>
              </w:r>
            </w:hyperlink>
            <w:hyperlink r:id="rId56">
              <w:r>
                <w:rPr>
                  <w:color w:val="4338CA"/>
                </w:rPr>
                <w:t>[N019]</w:t>
              </w:r>
            </w:hyperlink>
          </w:p>
        </w:tc>
      </w:tr>
      <w:tr>
        <w:trPr>
          <w:cantSplit/>
        </w:trPr>
        <w:tc>
          <w:tcPr>
            <w:tcW w:type="dxa" w:w="877"/>
            <w:vAlign w:val="top"/>
          </w:tcPr>
          <w:p>
            <w:pPr>
              <w:spacing w:after="80" w:before="60" w:line="276" w:lineRule="auto"/>
            </w:pPr>
            <w:r>
              <w:rPr>
                <w:sz w:val="16"/>
              </w:rPr>
              <w:t>布线/网络</w:t>
            </w:r>
          </w:p>
        </w:tc>
        <w:tc>
          <w:tcPr>
            <w:tcW w:type="dxa" w:w="2421"/>
            <w:vAlign w:val="top"/>
          </w:tcPr>
          <w:p>
            <w:pPr>
              <w:spacing w:after="80" w:before="60" w:line="276" w:lineRule="auto"/>
            </w:pPr>
            <w:r>
              <w:rPr>
                <w:sz w:val="16"/>
              </w:rPr>
              <w:t>光纤、光配架、连接器、铜缆、桥架、测试</w:t>
            </w:r>
          </w:p>
        </w:tc>
        <w:tc>
          <w:tcPr>
            <w:tcW w:type="dxa" w:w="2400"/>
            <w:vAlign w:val="top"/>
          </w:tcPr>
          <w:p>
            <w:pPr>
              <w:spacing w:after="80" w:before="60" w:line="276" w:lineRule="auto"/>
            </w:pPr>
            <w:r>
              <w:rPr>
                <w:sz w:val="16"/>
              </w:rPr>
              <w:t>光缆/连接器厂、网络集成商</w:t>
            </w:r>
          </w:p>
        </w:tc>
        <w:tc>
          <w:tcPr>
            <w:tcW w:type="dxa" w:w="2651"/>
            <w:vAlign w:val="top"/>
          </w:tcPr>
          <w:p>
            <w:pPr>
              <w:spacing w:after="80" w:before="60" w:line="276" w:lineRule="auto"/>
            </w:pPr>
            <w:r>
              <w:rPr>
                <w:sz w:val="16"/>
              </w:rPr>
              <w:t>弯曲半径、清洁、极性、插损预算、标识和备件</w:t>
            </w:r>
          </w:p>
        </w:tc>
        <w:tc>
          <w:tcPr>
            <w:tcW w:type="dxa" w:w="1544"/>
            <w:vAlign w:val="top"/>
          </w:tcPr>
          <w:p>
            <w:pPr>
              <w:spacing w:after="80" w:before="60" w:line="276" w:lineRule="auto"/>
            </w:pPr>
            <w:hyperlink r:id="rId79">
              <w:r>
                <w:rPr>
                  <w:color w:val="4338CA"/>
                </w:rPr>
                <w:t>[N045]</w:t>
              </w:r>
            </w:hyperlink>
            <w:hyperlink r:id="rId80">
              <w:r>
                <w:rPr>
                  <w:color w:val="4338CA"/>
                </w:rPr>
                <w:t>[N050]</w:t>
              </w:r>
            </w:hyperlink>
            <w:hyperlink r:id="rId65">
              <w:r>
                <w:rPr>
                  <w:color w:val="4338CA"/>
                </w:rPr>
                <w:t>[N060]</w:t>
              </w:r>
            </w:hyperlink>
          </w:p>
        </w:tc>
      </w:tr>
      <w:tr>
        <w:trPr>
          <w:cantSplit/>
        </w:trPr>
        <w:tc>
          <w:tcPr>
            <w:tcW w:type="dxa" w:w="877"/>
            <w:vAlign w:val="top"/>
          </w:tcPr>
          <w:p>
            <w:pPr>
              <w:spacing w:after="80" w:before="60" w:line="276" w:lineRule="auto"/>
            </w:pPr>
            <w:r>
              <w:rPr>
                <w:sz w:val="16"/>
              </w:rPr>
              <w:t>综合调试</w:t>
            </w:r>
          </w:p>
        </w:tc>
        <w:tc>
          <w:tcPr>
            <w:tcW w:type="dxa" w:w="2421"/>
            <w:vAlign w:val="top"/>
          </w:tcPr>
          <w:p>
            <w:pPr>
              <w:spacing w:after="80" w:before="60" w:line="276" w:lineRule="auto"/>
            </w:pPr>
            <w:r>
              <w:rPr>
                <w:sz w:val="16"/>
              </w:rPr>
              <w:t>假负载、全链路切换、网络与冷热联动验证</w:t>
            </w:r>
          </w:p>
        </w:tc>
        <w:tc>
          <w:tcPr>
            <w:tcW w:type="dxa" w:w="2400"/>
            <w:vAlign w:val="top"/>
          </w:tcPr>
          <w:p>
            <w:pPr>
              <w:spacing w:after="80" w:before="60" w:line="276" w:lineRule="auto"/>
            </w:pPr>
            <w:r>
              <w:rPr>
                <w:sz w:val="16"/>
              </w:rPr>
              <w:t>commissioning 团队、设备厂、运维方</w:t>
            </w:r>
          </w:p>
        </w:tc>
        <w:tc>
          <w:tcPr>
            <w:tcW w:type="dxa" w:w="2651"/>
            <w:vAlign w:val="top"/>
          </w:tcPr>
          <w:p>
            <w:pPr>
              <w:spacing w:after="80" w:before="60" w:line="276" w:lineRule="auto"/>
            </w:pPr>
            <w:r>
              <w:rPr>
                <w:sz w:val="16"/>
              </w:rPr>
              <w:t>单机测试通过是否覆盖全厂失电/泵失效/恢复顺序</w:t>
            </w:r>
          </w:p>
        </w:tc>
        <w:tc>
          <w:tcPr>
            <w:tcW w:type="dxa" w:w="1544"/>
            <w:vAlign w:val="top"/>
          </w:tcPr>
          <w:p>
            <w:pPr>
              <w:spacing w:after="80" w:before="60" w:line="276" w:lineRule="auto"/>
            </w:pPr>
            <w:hyperlink r:id="rId55">
              <w:r>
                <w:rPr>
                  <w:color w:val="4338CA"/>
                </w:rPr>
                <w:t>[N013]</w:t>
              </w:r>
            </w:hyperlink>
            <w:hyperlink r:id="rId71">
              <w:r>
                <w:rPr>
                  <w:color w:val="4338CA"/>
                </w:rPr>
                <w:t>[N018]</w:t>
              </w:r>
            </w:hyperlink>
          </w:p>
        </w:tc>
      </w:tr>
      <w:tr>
        <w:trPr>
          <w:cantSplit/>
        </w:trPr>
        <w:tc>
          <w:tcPr>
            <w:tcW w:type="dxa" w:w="877"/>
            <w:vAlign w:val="top"/>
          </w:tcPr>
          <w:p>
            <w:pPr>
              <w:spacing w:after="80" w:before="60" w:line="276" w:lineRule="auto"/>
            </w:pPr>
            <w:r>
              <w:rPr>
                <w:sz w:val="16"/>
              </w:rPr>
              <w:t>持续运营</w:t>
            </w:r>
          </w:p>
        </w:tc>
        <w:tc>
          <w:tcPr>
            <w:tcW w:type="dxa" w:w="2421"/>
            <w:vAlign w:val="top"/>
          </w:tcPr>
          <w:p>
            <w:pPr>
              <w:spacing w:after="80" w:before="60" w:line="276" w:lineRule="auto"/>
            </w:pPr>
            <w:r>
              <w:rPr>
                <w:sz w:val="16"/>
              </w:rPr>
              <w:t>容量、能效、可用性、维护与变更</w:t>
            </w:r>
          </w:p>
        </w:tc>
        <w:tc>
          <w:tcPr>
            <w:tcW w:type="dxa" w:w="2400"/>
            <w:vAlign w:val="top"/>
          </w:tcPr>
          <w:p>
            <w:pPr>
              <w:spacing w:after="80" w:before="60" w:line="276" w:lineRule="auto"/>
            </w:pPr>
            <w:r>
              <w:rPr>
                <w:sz w:val="16"/>
              </w:rPr>
              <w:t>运营商、DCIM/BMS/EMS、现场服务</w:t>
            </w:r>
          </w:p>
        </w:tc>
        <w:tc>
          <w:tcPr>
            <w:tcW w:type="dxa" w:w="2651"/>
            <w:vAlign w:val="top"/>
          </w:tcPr>
          <w:p>
            <w:pPr>
              <w:spacing w:after="80" w:before="60" w:line="276" w:lineRule="auto"/>
            </w:pPr>
            <w:r>
              <w:rPr>
                <w:sz w:val="16"/>
              </w:rPr>
              <w:t>负载改变后的参数重整、维护窗口和报警质量</w:t>
            </w:r>
          </w:p>
        </w:tc>
        <w:tc>
          <w:tcPr>
            <w:tcW w:type="dxa" w:w="1544"/>
            <w:vAlign w:val="top"/>
          </w:tcPr>
          <w:p>
            <w:pPr>
              <w:spacing w:after="80" w:before="60" w:line="276" w:lineRule="auto"/>
            </w:pPr>
            <w:hyperlink r:id="rId76">
              <w:r>
                <w:rPr>
                  <w:color w:val="4338CA"/>
                </w:rPr>
                <w:t>[N008]</w:t>
              </w:r>
            </w:hyperlink>
            <w:hyperlink r:id="rId55">
              <w:r>
                <w:rPr>
                  <w:color w:val="4338CA"/>
                </w:rPr>
                <w:t>[N013]</w:t>
              </w:r>
            </w:hyperlink>
          </w:p>
        </w:tc>
      </w:tr>
    </w:tbl>
    <w:p>
      <w:pPr>
        <w:spacing w:after="0"/>
      </w:pPr>
    </w:p>
    <w:p>
      <w:pPr/>
      <w:r>
        <w:t>预制电力模块、模块化机房把部分装配与调试前移到工厂，有利于减少现场接口；它仍需要实际接电、消防及本地审批。科华 2026-08 文件列出变压器/UPS/配电整合 Power Pod 和项目案例；这些可证明系统范围，不代表其宣传的节省比例可直接迁移到其他国家项目。</w:t>
      </w:r>
      <w:hyperlink r:id="rId71">
        <w:r>
          <w:rPr>
            <w:color w:val="4338CA"/>
          </w:rPr>
          <w:t>[N018]</w:t>
        </w:r>
      </w:hyperlink>
    </w:p>
    <w:p>
      <w:pPr>
        <w:pStyle w:val="Heading2"/>
      </w:pPr>
      <w:r>
        <w:t>PUE WUE 与“算力收入”的关系</w:t>
      </w:r>
    </w:p>
    <w:p>
      <w:pPr/>
      <w:r>
        <w:t>PUE 的分母是 IT 能耗，分子是设施总能耗；WUE 关注用水。PUE 下降不自动意味着总电量、总用水或碳排下降：IT 规模可以更快上升。比较项目需要注明计量边界、年度/瞬时值、气候和负载率，并把硬件利用率、任务吞吐和可用性一起看。</w:t>
      </w:r>
      <w:hyperlink r:id="rId74">
        <w:r>
          <w:rPr>
            <w:color w:val="4338CA"/>
          </w:rPr>
          <w:t>[N007]</w:t>
        </w:r>
      </w:hyperlink>
      <w:hyperlink r:id="rId60">
        <w:r>
          <w:rPr>
            <w:color w:val="4338CA"/>
          </w:rPr>
          <w:t>[N001]</w:t>
        </w:r>
      </w:hyperlink>
    </w:p>
    <w:p>
      <w:pPr/>
      <w:r>
        <w:rPr>
          <w:b/>
        </w:rPr>
        <w:t>推论：</w:t>
      </w:r>
      <w:r>
        <w:t xml:space="preserve"> 一个较低 PUE 但频繁因温度/网络降频的站点，可能有更高单位有效 token 成本；一个电价低却没有准时送电的项目，也没有可售的 GPU 小时。因此投资模型至少分列 IT MW、PUE、电价、可售利用率、设备可用率、资本成本和收入确认，不能仅用“每 MW 建设成本”。</w:t>
      </w:r>
      <w:hyperlink r:id="rId60">
        <w:r>
          <w:rPr>
            <w:color w:val="4338CA"/>
          </w:rPr>
          <w:t>[N001]</w:t>
        </w:r>
      </w:hyperlink>
      <w:hyperlink r:id="rId55">
        <w:r>
          <w:rPr>
            <w:color w:val="4338CA"/>
          </w:rPr>
          <w:t>[N013]</w:t>
        </w:r>
      </w:hyperlink>
    </w:p>
    <w:p>
      <w:pPr>
        <w:pStyle w:val="Heading2"/>
      </w:pPr>
      <w:r>
        <w:t>地区地图与可检验壁垒</w:t>
      </w:r>
    </w:p>
    <w:tbl>
      <w:tblPr>
        <w:tblW w:type="auto" w:w="0"/>
        <w:jc w:val="center"/>
        <w:tblLayout w:type="fixed"/>
        <w:tblLook w:firstColumn="1" w:firstRow="1" w:lastColumn="0" w:lastRow="0" w:noHBand="0" w:noVBand="1" w:val="04A0"/>
      </w:tblPr>
      <w:tblGrid>
        <w:gridCol w:w="1843"/>
        <w:gridCol w:w="2830"/>
        <w:gridCol w:w="3203"/>
        <w:gridCol w:w="2018"/>
      </w:tblGrid>
      <w:tr>
        <w:trPr>
          <w:tblHeader/>
        </w:trPr>
        <w:tc>
          <w:tcPr>
            <w:tcW w:type="dxa" w:w="1843"/>
            <w:vAlign w:val="top"/>
            <w:shd w:fill="E0E7FF"/>
          </w:tcPr>
          <w:p>
            <w:pPr>
              <w:spacing w:after="80" w:before="60" w:line="276" w:lineRule="auto"/>
            </w:pPr>
            <w:r>
              <w:rPr>
                <w:b/>
                <w:sz w:val="18"/>
              </w:rPr>
              <w:t>地区/企业</w:t>
            </w:r>
          </w:p>
        </w:tc>
        <w:tc>
          <w:tcPr>
            <w:tcW w:type="dxa" w:w="2830"/>
            <w:vAlign w:val="top"/>
            <w:shd w:fill="E0E7FF"/>
          </w:tcPr>
          <w:p>
            <w:pPr>
              <w:spacing w:after="80" w:before="60" w:line="276" w:lineRule="auto"/>
            </w:pPr>
            <w:r>
              <w:rPr>
                <w:b/>
                <w:sz w:val="18"/>
              </w:rPr>
              <w:t>已公开可核实位置</w:t>
            </w:r>
          </w:p>
        </w:tc>
        <w:tc>
          <w:tcPr>
            <w:tcW w:type="dxa" w:w="3203"/>
            <w:vAlign w:val="top"/>
            <w:shd w:fill="E0E7FF"/>
          </w:tcPr>
          <w:p>
            <w:pPr>
              <w:spacing w:after="80" w:before="60" w:line="276" w:lineRule="auto"/>
            </w:pPr>
            <w:r>
              <w:rPr>
                <w:b/>
                <w:sz w:val="18"/>
              </w:rPr>
              <w:t>应进一步索取的能力证明</w:t>
            </w:r>
          </w:p>
        </w:tc>
        <w:tc>
          <w:tcPr>
            <w:tcW w:type="dxa" w:w="2018"/>
            <w:vAlign w:val="top"/>
            <w:shd w:fill="E0E7FF"/>
          </w:tcPr>
          <w:p>
            <w:pPr>
              <w:spacing w:after="80" w:before="60" w:line="276" w:lineRule="auto"/>
            </w:pPr>
            <w:r>
              <w:rPr>
                <w:b/>
                <w:sz w:val="18"/>
              </w:rPr>
              <w:t>证据</w:t>
            </w:r>
          </w:p>
        </w:tc>
      </w:tr>
      <w:tr>
        <w:trPr>
          <w:cantSplit/>
        </w:trPr>
        <w:tc>
          <w:tcPr>
            <w:tcW w:type="dxa" w:w="1843"/>
            <w:vAlign w:val="top"/>
          </w:tcPr>
          <w:p>
            <w:pPr>
              <w:spacing w:after="80" w:before="60" w:line="276" w:lineRule="auto"/>
            </w:pPr>
            <w:r>
              <w:rPr>
                <w:sz w:val="18"/>
              </w:rPr>
              <w:t>美国：Eaton；Vertiv；Boyd</w:t>
            </w:r>
          </w:p>
        </w:tc>
        <w:tc>
          <w:tcPr>
            <w:tcW w:type="dxa" w:w="2830"/>
            <w:vAlign w:val="top"/>
          </w:tcPr>
          <w:p>
            <w:pPr>
              <w:spacing w:after="80" w:before="60" w:line="276" w:lineRule="auto"/>
            </w:pPr>
            <w:r>
              <w:rPr>
                <w:sz w:val="18"/>
              </w:rPr>
              <w:t>配电/UPS；CDU；冷板/TIM；角色不同</w:t>
            </w:r>
          </w:p>
        </w:tc>
        <w:tc>
          <w:tcPr>
            <w:tcW w:type="dxa" w:w="3203"/>
            <w:vAlign w:val="top"/>
          </w:tcPr>
          <w:p>
            <w:pPr>
              <w:spacing w:after="80" w:before="60" w:line="276" w:lineRule="auto"/>
            </w:pPr>
            <w:r>
              <w:rPr>
                <w:sz w:val="18"/>
              </w:rPr>
              <w:t>指定架构认证、产能、交付、系统效率与服务覆盖</w:t>
            </w:r>
          </w:p>
        </w:tc>
        <w:tc>
          <w:tcPr>
            <w:tcW w:type="dxa" w:w="2018"/>
            <w:vAlign w:val="top"/>
          </w:tcPr>
          <w:p>
            <w:pPr>
              <w:spacing w:after="80" w:before="60" w:line="276" w:lineRule="auto"/>
            </w:pPr>
            <w:hyperlink r:id="rId61">
              <w:r>
                <w:rPr>
                  <w:color w:val="4338CA"/>
                </w:rPr>
                <w:t>[N012]</w:t>
              </w:r>
            </w:hyperlink>
            <w:hyperlink r:id="rId76">
              <w:r>
                <w:rPr>
                  <w:color w:val="4338CA"/>
                </w:rPr>
                <w:t>[N008]</w:t>
              </w:r>
            </w:hyperlink>
            <w:hyperlink r:id="rId70">
              <w:r>
                <w:rPr>
                  <w:color w:val="4338CA"/>
                </w:rPr>
                <w:t>[N011]</w:t>
              </w:r>
            </w:hyperlink>
            <w:hyperlink r:id="rId75">
              <w:r>
                <w:rPr>
                  <w:color w:val="4338CA"/>
                </w:rPr>
                <w:t>[N055]</w:t>
              </w:r>
            </w:hyperlink>
          </w:p>
        </w:tc>
      </w:tr>
      <w:tr>
        <w:trPr>
          <w:cantSplit/>
        </w:trPr>
        <w:tc>
          <w:tcPr>
            <w:tcW w:type="dxa" w:w="1843"/>
            <w:vAlign w:val="top"/>
          </w:tcPr>
          <w:p>
            <w:pPr>
              <w:spacing w:after="80" w:before="60" w:line="276" w:lineRule="auto"/>
            </w:pPr>
            <w:r>
              <w:rPr>
                <w:sz w:val="18"/>
              </w:rPr>
              <w:t>欧洲：Schneider Electric；Siemens；Infineon</w:t>
            </w:r>
          </w:p>
        </w:tc>
        <w:tc>
          <w:tcPr>
            <w:tcW w:type="dxa" w:w="2830"/>
            <w:vAlign w:val="top"/>
          </w:tcPr>
          <w:p>
            <w:pPr>
              <w:spacing w:after="80" w:before="60" w:line="276" w:lineRule="auto"/>
            </w:pPr>
            <w:r>
              <w:rPr>
                <w:sz w:val="18"/>
              </w:rPr>
              <w:t>母线/配电；设施自动化/电气/消防；功率器件</w:t>
            </w:r>
          </w:p>
        </w:tc>
        <w:tc>
          <w:tcPr>
            <w:tcW w:type="dxa" w:w="3203"/>
            <w:vAlign w:val="top"/>
          </w:tcPr>
          <w:p>
            <w:pPr>
              <w:spacing w:after="80" w:before="60" w:line="276" w:lineRule="auto"/>
            </w:pPr>
            <w:r>
              <w:rPr>
                <w:sz w:val="18"/>
              </w:rPr>
              <w:t>本地安规、保护配合、800V 产品状态、维修与备件</w:t>
            </w:r>
          </w:p>
        </w:tc>
        <w:tc>
          <w:tcPr>
            <w:tcW w:type="dxa" w:w="2018"/>
            <w:vAlign w:val="top"/>
          </w:tcPr>
          <w:p>
            <w:pPr>
              <w:spacing w:after="80" w:before="60" w:line="276" w:lineRule="auto"/>
            </w:pPr>
            <w:hyperlink r:id="rId64">
              <w:r>
                <w:rPr>
                  <w:color w:val="4338CA"/>
                </w:rPr>
                <w:t>[N014]</w:t>
              </w:r>
            </w:hyperlink>
            <w:hyperlink r:id="rId55">
              <w:r>
                <w:rPr>
                  <w:color w:val="4338CA"/>
                </w:rPr>
                <w:t>[N013]</w:t>
              </w:r>
            </w:hyperlink>
            <w:hyperlink r:id="rId68">
              <w:r>
                <w:rPr>
                  <w:color w:val="4338CA"/>
                </w:rPr>
                <w:t>[N005]</w:t>
              </w:r>
            </w:hyperlink>
          </w:p>
        </w:tc>
      </w:tr>
      <w:tr>
        <w:trPr>
          <w:cantSplit/>
        </w:trPr>
        <w:tc>
          <w:tcPr>
            <w:tcW w:type="dxa" w:w="1843"/>
            <w:vAlign w:val="top"/>
          </w:tcPr>
          <w:p>
            <w:pPr>
              <w:spacing w:after="80" w:before="60" w:line="276" w:lineRule="auto"/>
            </w:pPr>
            <w:r>
              <w:rPr>
                <w:sz w:val="18"/>
              </w:rPr>
              <w:t>中国大陆：华为数字能源；科华；英维克</w:t>
            </w:r>
          </w:p>
        </w:tc>
        <w:tc>
          <w:tcPr>
            <w:tcW w:type="dxa" w:w="2830"/>
            <w:vAlign w:val="top"/>
          </w:tcPr>
          <w:p>
            <w:pPr>
              <w:spacing w:after="80" w:before="60" w:line="276" w:lineRule="auto"/>
            </w:pPr>
            <w:r>
              <w:rPr>
                <w:sz w:val="18"/>
              </w:rPr>
              <w:t>PowerPOD/UPS；预制电力模块；液冷全链路产品</w:t>
            </w:r>
          </w:p>
        </w:tc>
        <w:tc>
          <w:tcPr>
            <w:tcW w:type="dxa" w:w="3203"/>
            <w:vAlign w:val="top"/>
          </w:tcPr>
          <w:p>
            <w:pPr>
              <w:spacing w:after="80" w:before="60" w:line="276" w:lineRule="auto"/>
            </w:pPr>
            <w:r>
              <w:rPr>
                <w:sz w:val="18"/>
              </w:rPr>
              <w:t>接液材料清单、部署案例、整机厂验证、海外认证</w:t>
            </w:r>
          </w:p>
        </w:tc>
        <w:tc>
          <w:tcPr>
            <w:tcW w:type="dxa" w:w="2018"/>
            <w:vAlign w:val="top"/>
          </w:tcPr>
          <w:p>
            <w:pPr>
              <w:spacing w:after="80" w:before="60" w:line="276" w:lineRule="auto"/>
            </w:pPr>
            <w:hyperlink r:id="rId56">
              <w:r>
                <w:rPr>
                  <w:color w:val="4338CA"/>
                </w:rPr>
                <w:t>[N019]</w:t>
              </w:r>
            </w:hyperlink>
            <w:hyperlink r:id="rId71">
              <w:r>
                <w:rPr>
                  <w:color w:val="4338CA"/>
                </w:rPr>
                <w:t>[N018]</w:t>
              </w:r>
            </w:hyperlink>
            <w:hyperlink r:id="rId73">
              <w:r>
                <w:rPr>
                  <w:color w:val="4338CA"/>
                </w:rPr>
                <w:t>[N017]</w:t>
              </w:r>
            </w:hyperlink>
          </w:p>
        </w:tc>
      </w:tr>
      <w:tr>
        <w:trPr>
          <w:cantSplit/>
        </w:trPr>
        <w:tc>
          <w:tcPr>
            <w:tcW w:type="dxa" w:w="1843"/>
            <w:vAlign w:val="top"/>
          </w:tcPr>
          <w:p>
            <w:pPr>
              <w:spacing w:after="80" w:before="60" w:line="276" w:lineRule="auto"/>
            </w:pPr>
            <w:r>
              <w:rPr>
                <w:sz w:val="18"/>
              </w:rPr>
              <w:t>中国台湾：台达 Delta</w:t>
            </w:r>
          </w:p>
        </w:tc>
        <w:tc>
          <w:tcPr>
            <w:tcW w:type="dxa" w:w="2830"/>
            <w:vAlign w:val="top"/>
          </w:tcPr>
          <w:p>
            <w:pPr>
              <w:spacing w:after="80" w:before="60" w:line="276" w:lineRule="auto"/>
            </w:pPr>
            <w:r>
              <w:rPr>
                <w:sz w:val="18"/>
              </w:rPr>
              <w:t>电源/磁性组件与液冷模块、CDU</w:t>
            </w:r>
          </w:p>
        </w:tc>
        <w:tc>
          <w:tcPr>
            <w:tcW w:type="dxa" w:w="3203"/>
            <w:vAlign w:val="top"/>
          </w:tcPr>
          <w:p>
            <w:pPr>
              <w:spacing w:after="80" w:before="60" w:line="276" w:lineRule="auto"/>
            </w:pPr>
            <w:r>
              <w:rPr>
                <w:sz w:val="18"/>
              </w:rPr>
              <w:t>量产范围、主要客户集中度、功率/冷却边界</w:t>
            </w:r>
          </w:p>
        </w:tc>
        <w:tc>
          <w:tcPr>
            <w:tcW w:type="dxa" w:w="2018"/>
            <w:vAlign w:val="top"/>
          </w:tcPr>
          <w:p>
            <w:pPr>
              <w:spacing w:after="80" w:before="60" w:line="276" w:lineRule="auto"/>
            </w:pPr>
            <w:hyperlink r:id="rId72">
              <w:r>
                <w:rPr>
                  <w:color w:val="4338CA"/>
                </w:rPr>
                <w:t>[N020]</w:t>
              </w:r>
            </w:hyperlink>
          </w:p>
        </w:tc>
      </w:tr>
      <w:tr>
        <w:trPr>
          <w:cantSplit/>
        </w:trPr>
        <w:tc>
          <w:tcPr>
            <w:tcW w:type="dxa" w:w="1843"/>
            <w:vAlign w:val="top"/>
          </w:tcPr>
          <w:p>
            <w:pPr>
              <w:spacing w:after="80" w:before="60" w:line="276" w:lineRule="auto"/>
            </w:pPr>
            <w:r>
              <w:rPr>
                <w:sz w:val="18"/>
              </w:rPr>
              <w:t>日本：TDK；古河电工</w:t>
            </w:r>
          </w:p>
        </w:tc>
        <w:tc>
          <w:tcPr>
            <w:tcW w:type="dxa" w:w="2830"/>
            <w:vAlign w:val="top"/>
          </w:tcPr>
          <w:p>
            <w:pPr>
              <w:spacing w:after="80" w:before="60" w:line="276" w:lineRule="auto"/>
            </w:pPr>
            <w:r>
              <w:rPr>
                <w:sz w:val="18"/>
              </w:rPr>
              <w:t>电感/磁性/保护元件；光纤/冷却相关产品</w:t>
            </w:r>
          </w:p>
        </w:tc>
        <w:tc>
          <w:tcPr>
            <w:tcW w:type="dxa" w:w="3203"/>
            <w:vAlign w:val="top"/>
          </w:tcPr>
          <w:p>
            <w:pPr>
              <w:spacing w:after="80" w:before="60" w:line="276" w:lineRule="auto"/>
            </w:pPr>
            <w:r>
              <w:rPr>
                <w:sz w:val="18"/>
              </w:rPr>
              <w:t>材料规格、工厂产能与客户 qualification</w:t>
            </w:r>
          </w:p>
        </w:tc>
        <w:tc>
          <w:tcPr>
            <w:tcW w:type="dxa" w:w="2018"/>
            <w:vAlign w:val="top"/>
          </w:tcPr>
          <w:p>
            <w:pPr>
              <w:spacing w:after="80" w:before="60" w:line="276" w:lineRule="auto"/>
            </w:pPr>
            <w:hyperlink r:id="rId69">
              <w:r>
                <w:rPr>
                  <w:color w:val="4338CA"/>
                </w:rPr>
                <w:t>[N058]</w:t>
              </w:r>
            </w:hyperlink>
            <w:hyperlink r:id="rId81">
              <w:r>
                <w:rPr>
                  <w:color w:val="4338CA"/>
                </w:rPr>
                <w:t>[N051]</w:t>
              </w:r>
            </w:hyperlink>
          </w:p>
        </w:tc>
      </w:tr>
      <w:tr>
        <w:trPr>
          <w:cantSplit/>
        </w:trPr>
        <w:tc>
          <w:tcPr>
            <w:tcW w:type="dxa" w:w="1843"/>
            <w:vAlign w:val="top"/>
          </w:tcPr>
          <w:p>
            <w:pPr>
              <w:spacing w:after="80" w:before="60" w:line="276" w:lineRule="auto"/>
            </w:pPr>
            <w:r>
              <w:rPr>
                <w:sz w:val="18"/>
              </w:rPr>
              <w:t>加拿大：CoolIT</w:t>
            </w:r>
          </w:p>
        </w:tc>
        <w:tc>
          <w:tcPr>
            <w:tcW w:type="dxa" w:w="2830"/>
            <w:vAlign w:val="top"/>
          </w:tcPr>
          <w:p>
            <w:pPr>
              <w:spacing w:after="80" w:before="60" w:line="276" w:lineRule="auto"/>
            </w:pPr>
            <w:r>
              <w:rPr>
                <w:sz w:val="18"/>
              </w:rPr>
              <w:t>数据中心液冷 CDU 与系统</w:t>
            </w:r>
          </w:p>
        </w:tc>
        <w:tc>
          <w:tcPr>
            <w:tcW w:type="dxa" w:w="3203"/>
            <w:vAlign w:val="top"/>
          </w:tcPr>
          <w:p>
            <w:pPr>
              <w:spacing w:after="80" w:before="60" w:line="276" w:lineRule="auto"/>
            </w:pPr>
            <w:r>
              <w:rPr>
                <w:sz w:val="18"/>
              </w:rPr>
              <w:t>相同温差/流量下容量、现场服务、故障恢复</w:t>
            </w:r>
          </w:p>
        </w:tc>
        <w:tc>
          <w:tcPr>
            <w:tcW w:type="dxa" w:w="2018"/>
            <w:vAlign w:val="top"/>
          </w:tcPr>
          <w:p>
            <w:pPr>
              <w:spacing w:after="80" w:before="60" w:line="276" w:lineRule="auto"/>
            </w:pPr>
            <w:hyperlink r:id="rId57">
              <w:r>
                <w:rPr>
                  <w:color w:val="4338CA"/>
                </w:rPr>
                <w:t>[N009]</w:t>
              </w:r>
            </w:hyperlink>
            <w:hyperlink r:id="rId77">
              <w:r>
                <w:rPr>
                  <w:color w:val="4338CA"/>
                </w:rPr>
                <w:t>[N054]</w:t>
              </w:r>
            </w:hyperlink>
          </w:p>
        </w:tc>
      </w:tr>
    </w:tbl>
    <w:p>
      <w:pPr>
        <w:spacing w:after="0"/>
      </w:pPr>
    </w:p>
    <w:p>
      <w:pPr/>
      <w:r>
        <w:t xml:space="preserve">韩国：LS ELECTRIC 已公开数据中心 Remote Power Panel 配电资料；Hyosung 展示变压器、开关设备、SST/HVDC/STATCOM 等电网方案。展品、产品目录与已取得客户订单是不同证据，上述企业的 AI 数据中心收入占比及韩国电池企业的具体项目供货仍缺乏充分公开证据。</w:t>
      </w:r>
      <w:hyperlink r:id="rId82">
        <w:r>
          <w:rPr>
            <w:color w:val="4338CA"/>
          </w:rPr>
          <w:t>[N071]</w:t>
        </w:r>
      </w:hyperlink>
      <w:hyperlink r:id="rId83">
        <w:r>
          <w:rPr>
            <w:color w:val="4338CA"/>
          </w:rPr>
          <w:t>[N072]</w:t>
        </w:r>
      </w:hyperlink>
    </w:p>
    <w:p>
      <w:pPr/>
      <w:r>
        <w:t>Reddit r/datacenter 的改造讨论中，用户反复提到预留管线空间、保留残余房间制冷、按服务器厂商核实二次液体。这些属于有工程细节、可与手册交叉检查的经验线索；作者身份、项目规模和长期结果均未验证，不能用于证明市场份额或投资回报。</w:t>
      </w:r>
      <w:hyperlink r:id="rId84">
        <w:r>
          <w:rPr>
            <w:color w:val="4338CA"/>
          </w:rPr>
          <w:t>[N052]</w:t>
        </w:r>
      </w:hyperlink>
    </w:p>
    <w:p>
      <w:pPr>
        <w:pStyle w:val="Heading1"/>
        <w:pageBreakBefore/>
      </w:pPr>
      <w:r>
        <w:t>03  数据怎样移动 机内、机架、集群与跨中心网络</w:t>
      </w:r>
    </w:p>
    <w:p>
      <w:pPr>
        <w:pStyle w:val="Heading2"/>
      </w:pPr>
      <w:r>
        <w:t>先纠正三个容易混的名词</w:t>
      </w:r>
    </w:p>
    <w:p>
      <w:pPr/>
      <w:r>
        <w:rPr>
          <w:b/>
        </w:rPr>
        <w:t>CPU</w:t>
      </w:r>
      <w:r>
        <w:t xml:space="preserve"> 执行通用计算与控制；</w:t>
      </w:r>
      <w:r>
        <w:rPr>
          <w:b/>
        </w:rPr>
        <w:t>DPU</w:t>
      </w:r>
      <w:r>
        <w:t>（Data Processing Unit）承担网络、存储、安全等基础设施卸载；</w:t>
      </w:r>
      <w:r>
        <w:rPr>
          <w:b/>
        </w:rPr>
        <w:t>DSP</w:t>
      </w:r>
      <w:r>
        <w:t xml:space="preserve">（Digital Signal Processor）在高速电/光链路处理中承担均衡、恢复等信号处理。DPU 与光模块中的 DSP 承担不同功能，不能混同；DPU 本身也不是光模块。</w:t>
      </w:r>
      <w:hyperlink r:id="rId85">
        <w:r>
          <w:rPr>
            <w:color w:val="4338CA"/>
          </w:rPr>
          <w:t>[N027]</w:t>
        </w:r>
      </w:hyperlink>
      <w:hyperlink r:id="rId86">
        <w:r>
          <w:rPr>
            <w:color w:val="4338CA"/>
          </w:rPr>
          <w:t>[N065]</w:t>
        </w:r>
      </w:hyperlink>
      <w:hyperlink r:id="rId87">
        <w:r>
          <w:rPr>
            <w:color w:val="4338CA"/>
          </w:rPr>
          <w:t>[N090]</w:t>
        </w:r>
      </w:hyperlink>
    </w:p>
    <w:p>
      <w:pPr/>
      <w:r>
        <w:t>“光互联”描述传输介质与物理实现，“以太网/InfiniBand”描述网络体系，“NVLink/UALink”描述加速器 scale-up 互连，“PCIe/CXL”描述主机/设备/内存连接；这些处于不同抽象层。不能把 CPO 与 Ethernet、把光纤与 RDMA 放在互斥选项中。</w:t>
      </w:r>
      <w:hyperlink r:id="rId88">
        <w:r>
          <w:rPr>
            <w:color w:val="4338CA"/>
          </w:rPr>
          <w:t>[N081]</w:t>
        </w:r>
      </w:hyperlink>
      <w:hyperlink r:id="rId89">
        <w:r>
          <w:rPr>
            <w:color w:val="4338CA"/>
          </w:rPr>
          <w:t>[N084]</w:t>
        </w:r>
      </w:hyperlink>
      <w:hyperlink r:id="rId40">
        <w:r>
          <w:rPr>
            <w:color w:val="4338CA"/>
          </w:rPr>
          <w:t>[N024]</w:t>
        </w:r>
      </w:hyperlink>
      <w:hyperlink r:id="rId44">
        <w:r>
          <w:rPr>
            <w:color w:val="4338CA"/>
          </w:rPr>
          <w:t>[N025]</w:t>
        </w:r>
      </w:hyperlink>
      <w:hyperlink r:id="rId45">
        <w:r>
          <w:rPr>
            <w:color w:val="4338CA"/>
          </w:rPr>
          <w:t>[N026]</w:t>
        </w:r>
      </w:hyperlink>
      <w:hyperlink r:id="rId90">
        <w:r>
          <w:rPr>
            <w:color w:val="4338CA"/>
          </w:rPr>
          <w:t>[N047]</w:t>
        </w:r>
      </w:hyperlink>
    </w:p>
    <w:p>
      <w:pPr>
        <w:pStyle w:val="Heading2"/>
      </w:pPr>
      <w:r>
        <w:t>四层连接蓝图</w:t>
      </w:r>
    </w:p>
    <w:p>
      <w:pPr>
        <w:keepNext/>
      </w:pPr>
      <w:r>
        <w:t>主机、加速器、机架、集群与跨中心互联（从左至右第 1/3 段，相邻区域重叠）</w:t>
      </w:r>
    </w:p>
    <w:p>
      <w:r>
        <w:drawing>
          <wp:inline xmlns:a="http://schemas.openxmlformats.org/drawingml/2006/main" xmlns:pic="http://schemas.openxmlformats.org/drawingml/2006/picture">
            <wp:extent cx="6281928" cy="2781062"/>
            <wp:docPr id="12" name="Picture 12"/>
            <wp:cNvGraphicFramePr>
              <a:graphicFrameLocks noChangeAspect="1"/>
            </wp:cNvGraphicFramePr>
            <a:graphic>
              <a:graphicData uri="http://schemas.openxmlformats.org/drawingml/2006/picture">
                <pic:pic>
                  <pic:nvPicPr>
                    <pic:cNvPr id="0" name="print-03-network-optics-1.png"/>
                    <pic:cNvPicPr/>
                  </pic:nvPicPr>
                  <pic:blipFill>
                    <a:blip r:embed="rId332"/>
                    <a:stretch>
                      <a:fillRect/>
                    </a:stretch>
                  </pic:blipFill>
                  <pic:spPr>
                    <a:xfrm>
                      <a:off x="0" y="0"/>
                      <a:ext cx="6281928" cy="2781062"/>
                    </a:xfrm>
                    <a:prstGeom prst="rect"/>
                  </pic:spPr>
                </pic:pic>
              </a:graphicData>
            </a:graphic>
          </wp:inline>
        </w:drawing>
      </w:r>
    </w:p>
    <w:p>
      <w:pPr>
        <w:keepNext/>
      </w:pPr>
      <w:r>
        <w:t>主机、加速器、机架、集群与跨中心互联（从左至右第 2/3 段，相邻区域重叠）</w:t>
      </w:r>
    </w:p>
    <w:p>
      <w:r>
        <w:drawing>
          <wp:inline xmlns:a="http://schemas.openxmlformats.org/drawingml/2006/main" xmlns:pic="http://schemas.openxmlformats.org/drawingml/2006/picture">
            <wp:extent cx="6281928" cy="2781062"/>
            <wp:docPr id="13" name="Picture 13"/>
            <wp:cNvGraphicFramePr>
              <a:graphicFrameLocks noChangeAspect="1"/>
            </wp:cNvGraphicFramePr>
            <a:graphic>
              <a:graphicData uri="http://schemas.openxmlformats.org/drawingml/2006/picture">
                <pic:pic>
                  <pic:nvPicPr>
                    <pic:cNvPr id="0" name="print-03-network-optics-2.png"/>
                    <pic:cNvPicPr/>
                  </pic:nvPicPr>
                  <pic:blipFill>
                    <a:blip r:embed="rId333"/>
                    <a:stretch>
                      <a:fillRect/>
                    </a:stretch>
                  </pic:blipFill>
                  <pic:spPr>
                    <a:xfrm>
                      <a:off x="0" y="0"/>
                      <a:ext cx="6281928" cy="2781062"/>
                    </a:xfrm>
                    <a:prstGeom prst="rect"/>
                  </pic:spPr>
                </pic:pic>
              </a:graphicData>
            </a:graphic>
          </wp:inline>
        </w:drawing>
      </w:r>
    </w:p>
    <w:p>
      <w:pPr>
        <w:keepNext/>
      </w:pPr>
      <w:r>
        <w:t>主机、加速器、机架、集群与跨中心互联（从左至右第 3/3 段，相邻区域重叠）</w:t>
      </w:r>
    </w:p>
    <w:p>
      <w:r>
        <w:drawing>
          <wp:inline xmlns:a="http://schemas.openxmlformats.org/drawingml/2006/main" xmlns:pic="http://schemas.openxmlformats.org/drawingml/2006/picture">
            <wp:extent cx="6281928" cy="2781062"/>
            <wp:docPr id="14" name="Picture 14"/>
            <wp:cNvGraphicFramePr>
              <a:graphicFrameLocks noChangeAspect="1"/>
            </wp:cNvGraphicFramePr>
            <a:graphic>
              <a:graphicData uri="http://schemas.openxmlformats.org/drawingml/2006/picture">
                <pic:pic>
                  <pic:nvPicPr>
                    <pic:cNvPr id="0" name="print-03-network-optics-3.png"/>
                    <pic:cNvPicPr/>
                  </pic:nvPicPr>
                  <pic:blipFill>
                    <a:blip r:embed="rId334"/>
                    <a:stretch>
                      <a:fillRect/>
                    </a:stretch>
                  </pic:blipFill>
                  <pic:spPr>
                    <a:xfrm>
                      <a:off x="0" y="0"/>
                      <a:ext cx="6281928" cy="2781062"/>
                    </a:xfrm>
                    <a:prstGeom prst="rect"/>
                  </pic:spPr>
                </pic:pic>
              </a:graphicData>
            </a:graphic>
          </wp:inline>
        </w:drawing>
      </w:r>
    </w:p>
    <w:p>
      <w:pPr/>
      <w:r>
        <w:t>图是本文按功能绘制的通用抽象；GPU 到 NIC 的实际数据路径取决于平台拓扑与 DMA 能力，未画成“必经 CPU 内存”。HBM 仍是封装附近的本地存储接口，不能因为 GPU 使用网络便将 HBM 带宽与网络带宽相加。</w:t>
      </w:r>
      <w:hyperlink r:id="rId38">
        <w:r>
          <w:rPr>
            <w:color w:val="4338CA"/>
          </w:rPr>
          <w:t>[N021]</w:t>
        </w:r>
      </w:hyperlink>
      <w:hyperlink r:id="rId39">
        <w:r>
          <w:rPr>
            <w:color w:val="4338CA"/>
          </w:rPr>
          <w:t>[N022]</w:t>
        </w:r>
      </w:hyperlink>
      <w:hyperlink r:id="rId45">
        <w:r>
          <w:rPr>
            <w:color w:val="4338CA"/>
          </w:rPr>
          <w:t>[N026]</w:t>
        </w:r>
      </w:hyperlink>
      <w:hyperlink r:id="rId85">
        <w:r>
          <w:rPr>
            <w:color w:val="4338CA"/>
          </w:rPr>
          <w:t>[N027]</w:t>
        </w:r>
      </w:hyperlink>
    </w:p>
    <w:tbl>
      <w:tblPr>
        <w:tblW w:type="auto" w:w="0"/>
        <w:jc w:val="center"/>
        <w:tblLayout w:type="fixed"/>
        <w:tblLook w:firstColumn="1" w:firstRow="1" w:lastColumn="0" w:lastRow="0" w:noHBand="0" w:noVBand="1" w:val="04A0"/>
      </w:tblPr>
      <w:tblGrid>
        <w:gridCol w:w="961"/>
        <w:gridCol w:w="1899"/>
        <w:gridCol w:w="3282"/>
        <w:gridCol w:w="2438"/>
        <w:gridCol w:w="1313"/>
      </w:tblGrid>
      <w:tr>
        <w:trPr>
          <w:tblHeader/>
        </w:trPr>
        <w:tc>
          <w:tcPr>
            <w:tcW w:type="dxa" w:w="961"/>
            <w:vAlign w:val="top"/>
            <w:shd w:fill="E0E7FF"/>
          </w:tcPr>
          <w:p>
            <w:pPr>
              <w:spacing w:after="80" w:before="60" w:line="276" w:lineRule="auto"/>
            </w:pPr>
            <w:r>
              <w:rPr>
                <w:b/>
                <w:sz w:val="16"/>
              </w:rPr>
              <w:t>层</w:t>
            </w:r>
          </w:p>
        </w:tc>
        <w:tc>
          <w:tcPr>
            <w:tcW w:type="dxa" w:w="1899"/>
            <w:vAlign w:val="top"/>
            <w:shd w:fill="E0E7FF"/>
          </w:tcPr>
          <w:p>
            <w:pPr>
              <w:spacing w:after="80" w:before="60" w:line="276" w:lineRule="auto"/>
            </w:pPr>
            <w:r>
              <w:rPr>
                <w:b/>
                <w:sz w:val="16"/>
              </w:rPr>
              <w:t>任务</w:t>
            </w:r>
          </w:p>
        </w:tc>
        <w:tc>
          <w:tcPr>
            <w:tcW w:type="dxa" w:w="3282"/>
            <w:vAlign w:val="top"/>
            <w:shd w:fill="E0E7FF"/>
          </w:tcPr>
          <w:p>
            <w:pPr>
              <w:spacing w:after="80" w:before="60" w:line="276" w:lineRule="auto"/>
            </w:pPr>
            <w:r>
              <w:rPr>
                <w:b/>
                <w:sz w:val="16"/>
              </w:rPr>
              <w:t>典型组件</w:t>
            </w:r>
          </w:p>
        </w:tc>
        <w:tc>
          <w:tcPr>
            <w:tcW w:type="dxa" w:w="2438"/>
            <w:vAlign w:val="top"/>
            <w:shd w:fill="E0E7FF"/>
          </w:tcPr>
          <w:p>
            <w:pPr>
              <w:spacing w:after="80" w:before="60" w:line="276" w:lineRule="auto"/>
            </w:pPr>
            <w:r>
              <w:rPr>
                <w:b/>
                <w:sz w:val="16"/>
              </w:rPr>
              <w:t>边界</w:t>
            </w:r>
          </w:p>
        </w:tc>
        <w:tc>
          <w:tcPr>
            <w:tcW w:type="dxa" w:w="1313"/>
            <w:vAlign w:val="top"/>
            <w:shd w:fill="E0E7FF"/>
          </w:tcPr>
          <w:p>
            <w:pPr>
              <w:spacing w:after="80" w:before="60" w:line="276" w:lineRule="auto"/>
            </w:pPr>
            <w:r>
              <w:rPr>
                <w:b/>
                <w:sz w:val="16"/>
              </w:rPr>
              <w:t>证据</w:t>
            </w:r>
          </w:p>
        </w:tc>
      </w:tr>
      <w:tr>
        <w:trPr>
          <w:cantSplit/>
        </w:trPr>
        <w:tc>
          <w:tcPr>
            <w:tcW w:type="dxa" w:w="961"/>
            <w:vAlign w:val="top"/>
          </w:tcPr>
          <w:p>
            <w:pPr>
              <w:spacing w:after="80" w:before="60" w:line="276" w:lineRule="auto"/>
            </w:pPr>
            <w:r>
              <w:rPr>
                <w:sz w:val="16"/>
              </w:rPr>
              <w:t>板/托盘/机内</w:t>
            </w:r>
          </w:p>
        </w:tc>
        <w:tc>
          <w:tcPr>
            <w:tcW w:type="dxa" w:w="1899"/>
            <w:vAlign w:val="top"/>
          </w:tcPr>
          <w:p>
            <w:pPr>
              <w:spacing w:after="80" w:before="60" w:line="276" w:lineRule="auto"/>
            </w:pPr>
            <w:r>
              <w:rPr>
                <w:sz w:val="16"/>
              </w:rPr>
              <w:t>CPU、GPU、NIC、SSD 等互连；内存扩展与一致性</w:t>
            </w:r>
          </w:p>
        </w:tc>
        <w:tc>
          <w:tcPr>
            <w:tcW w:type="dxa" w:w="3282"/>
            <w:vAlign w:val="top"/>
          </w:tcPr>
          <w:p>
            <w:pPr>
              <w:spacing w:after="80" w:before="60" w:line="276" w:lineRule="auto"/>
            </w:pPr>
            <w:r>
              <w:rPr>
                <w:sz w:val="16"/>
              </w:rPr>
              <w:t>PCIe root complex、switch、retimer；CXL controller</w:t>
            </w:r>
          </w:p>
        </w:tc>
        <w:tc>
          <w:tcPr>
            <w:tcW w:type="dxa" w:w="2438"/>
            <w:vAlign w:val="top"/>
          </w:tcPr>
          <w:p>
            <w:pPr>
              <w:spacing w:after="80" w:before="60" w:line="276" w:lineRule="auto"/>
            </w:pPr>
            <w:r>
              <w:rPr>
                <w:sz w:val="16"/>
              </w:rPr>
              <w:t>PCIe 兼容插槽不保证 CXL 功能，需主机/固件/OS 支持</w:t>
            </w:r>
          </w:p>
        </w:tc>
        <w:tc>
          <w:tcPr>
            <w:tcW w:type="dxa" w:w="1313"/>
            <w:vAlign w:val="top"/>
          </w:tcPr>
          <w:p>
            <w:pPr>
              <w:spacing w:after="80" w:before="60" w:line="276" w:lineRule="auto"/>
            </w:pPr>
            <w:hyperlink r:id="rId44">
              <w:r>
                <w:rPr>
                  <w:color w:val="4338CA"/>
                </w:rPr>
                <w:t>[N025]</w:t>
              </w:r>
            </w:hyperlink>
            <w:hyperlink r:id="rId45">
              <w:r>
                <w:rPr>
                  <w:color w:val="4338CA"/>
                </w:rPr>
                <w:t>[N026]</w:t>
              </w:r>
            </w:hyperlink>
            <w:hyperlink r:id="rId91">
              <w:r>
                <w:rPr>
                  <w:color w:val="4338CA"/>
                </w:rPr>
                <w:t>[N028]</w:t>
              </w:r>
            </w:hyperlink>
          </w:p>
        </w:tc>
      </w:tr>
      <w:tr>
        <w:trPr>
          <w:cantSplit/>
        </w:trPr>
        <w:tc>
          <w:tcPr>
            <w:tcW w:type="dxa" w:w="961"/>
            <w:vAlign w:val="top"/>
          </w:tcPr>
          <w:p>
            <w:pPr>
              <w:spacing w:after="80" w:before="60" w:line="276" w:lineRule="auto"/>
            </w:pPr>
            <w:r>
              <w:rPr>
                <w:sz w:val="16"/>
              </w:rPr>
              <w:t>scale-up</w:t>
            </w:r>
          </w:p>
        </w:tc>
        <w:tc>
          <w:tcPr>
            <w:tcW w:type="dxa" w:w="1899"/>
            <w:vAlign w:val="top"/>
          </w:tcPr>
          <w:p>
            <w:pPr>
              <w:spacing w:after="80" w:before="60" w:line="276" w:lineRule="auto"/>
            </w:pPr>
            <w:r>
              <w:rPr>
                <w:sz w:val="16"/>
              </w:rPr>
              <w:t>紧密协同的加速器之间高带宽访问与通信</w:t>
            </w:r>
          </w:p>
        </w:tc>
        <w:tc>
          <w:tcPr>
            <w:tcW w:type="dxa" w:w="3282"/>
            <w:vAlign w:val="top"/>
          </w:tcPr>
          <w:p>
            <w:pPr>
              <w:spacing w:after="80" w:before="60" w:line="276" w:lineRule="auto"/>
            </w:pPr>
            <w:r>
              <w:rPr>
                <w:sz w:val="16"/>
              </w:rPr>
              <w:t>NVLink/NVSwitch、UALink、专用 ASIC/连接</w:t>
            </w:r>
          </w:p>
        </w:tc>
        <w:tc>
          <w:tcPr>
            <w:tcW w:type="dxa" w:w="2438"/>
            <w:vAlign w:val="top"/>
          </w:tcPr>
          <w:p>
            <w:pPr>
              <w:spacing w:after="80" w:before="60" w:line="276" w:lineRule="auto"/>
            </w:pPr>
            <w:r>
              <w:rPr>
                <w:sz w:val="16"/>
              </w:rPr>
              <w:t>通信语义、拓扑和软件决定能力；不局限于一台箱体</w:t>
            </w:r>
          </w:p>
        </w:tc>
        <w:tc>
          <w:tcPr>
            <w:tcW w:type="dxa" w:w="1313"/>
            <w:vAlign w:val="top"/>
          </w:tcPr>
          <w:p>
            <w:pPr>
              <w:spacing w:after="80" w:before="60" w:line="276" w:lineRule="auto"/>
            </w:pPr>
            <w:hyperlink r:id="rId88">
              <w:r>
                <w:rPr>
                  <w:color w:val="4338CA"/>
                </w:rPr>
                <w:t>[N081]</w:t>
              </w:r>
            </w:hyperlink>
            <w:hyperlink r:id="rId40">
              <w:r>
                <w:rPr>
                  <w:color w:val="4338CA"/>
                </w:rPr>
                <w:t>[N024]</w:t>
              </w:r>
            </w:hyperlink>
          </w:p>
        </w:tc>
      </w:tr>
      <w:tr>
        <w:trPr>
          <w:cantSplit/>
        </w:trPr>
        <w:tc>
          <w:tcPr>
            <w:tcW w:type="dxa" w:w="961"/>
            <w:vAlign w:val="top"/>
          </w:tcPr>
          <w:p>
            <w:pPr>
              <w:spacing w:after="80" w:before="60" w:line="276" w:lineRule="auto"/>
            </w:pPr>
            <w:r>
              <w:rPr>
                <w:sz w:val="16"/>
              </w:rPr>
              <w:t>scale-out</w:t>
            </w:r>
          </w:p>
        </w:tc>
        <w:tc>
          <w:tcPr>
            <w:tcW w:type="dxa" w:w="1899"/>
            <w:vAlign w:val="top"/>
          </w:tcPr>
          <w:p>
            <w:pPr>
              <w:spacing w:after="80" w:before="60" w:line="276" w:lineRule="auto"/>
            </w:pPr>
            <w:r>
              <w:rPr>
                <w:sz w:val="16"/>
              </w:rPr>
              <w:t>多节点/机架组成训练或推理集群</w:t>
            </w:r>
          </w:p>
        </w:tc>
        <w:tc>
          <w:tcPr>
            <w:tcW w:type="dxa" w:w="3282"/>
            <w:vAlign w:val="top"/>
          </w:tcPr>
          <w:p>
            <w:pPr>
              <w:spacing w:after="80" w:before="60" w:line="276" w:lineRule="auto"/>
            </w:pPr>
            <w:r>
              <w:rPr>
                <w:sz w:val="16"/>
              </w:rPr>
              <w:t>NIC、InfiniBand 或 Ethernet、leaf/spine、铜/光链路</w:t>
            </w:r>
          </w:p>
        </w:tc>
        <w:tc>
          <w:tcPr>
            <w:tcW w:type="dxa" w:w="2438"/>
            <w:vAlign w:val="top"/>
          </w:tcPr>
          <w:p>
            <w:pPr>
              <w:spacing w:after="80" w:before="60" w:line="276" w:lineRule="auto"/>
            </w:pPr>
            <w:r>
              <w:rPr>
                <w:sz w:val="16"/>
              </w:rPr>
              <w:t>需拥塞控制、路由、collective 与软件一起验证</w:t>
            </w:r>
          </w:p>
        </w:tc>
        <w:tc>
          <w:tcPr>
            <w:tcW w:type="dxa" w:w="1313"/>
            <w:vAlign w:val="top"/>
          </w:tcPr>
          <w:p>
            <w:pPr>
              <w:spacing w:after="80" w:before="60" w:line="276" w:lineRule="auto"/>
            </w:pPr>
            <w:hyperlink r:id="rId38">
              <w:r>
                <w:rPr>
                  <w:color w:val="4338CA"/>
                </w:rPr>
                <w:t>[N021]</w:t>
              </w:r>
            </w:hyperlink>
            <w:hyperlink r:id="rId39">
              <w:r>
                <w:rPr>
                  <w:color w:val="4338CA"/>
                </w:rPr>
                <w:t>[N022]</w:t>
              </w:r>
            </w:hyperlink>
            <w:hyperlink r:id="rId92">
              <w:r>
                <w:rPr>
                  <w:color w:val="4338CA"/>
                </w:rPr>
                <w:t>[N023]</w:t>
              </w:r>
            </w:hyperlink>
          </w:p>
        </w:tc>
      </w:tr>
      <w:tr>
        <w:trPr>
          <w:cantSplit/>
        </w:trPr>
        <w:tc>
          <w:tcPr>
            <w:tcW w:type="dxa" w:w="961"/>
            <w:vAlign w:val="top"/>
          </w:tcPr>
          <w:p>
            <w:pPr>
              <w:spacing w:after="80" w:before="60" w:line="276" w:lineRule="auto"/>
            </w:pPr>
            <w:r>
              <w:rPr>
                <w:sz w:val="16"/>
              </w:rPr>
              <w:t>scale-across/DCI</w:t>
            </w:r>
          </w:p>
        </w:tc>
        <w:tc>
          <w:tcPr>
            <w:tcW w:type="dxa" w:w="1899"/>
            <w:vAlign w:val="top"/>
          </w:tcPr>
          <w:p>
            <w:pPr>
              <w:spacing w:after="80" w:before="60" w:line="276" w:lineRule="auto"/>
            </w:pPr>
            <w:r>
              <w:rPr>
                <w:sz w:val="16"/>
              </w:rPr>
              <w:t>多园区之间数据、复制或分布式计算连接</w:t>
            </w:r>
          </w:p>
        </w:tc>
        <w:tc>
          <w:tcPr>
            <w:tcW w:type="dxa" w:w="3282"/>
            <w:vAlign w:val="top"/>
          </w:tcPr>
          <w:p>
            <w:pPr>
              <w:spacing w:after="80" w:before="60" w:line="276" w:lineRule="auto"/>
            </w:pPr>
            <w:r>
              <w:rPr>
                <w:sz w:val="16"/>
              </w:rPr>
              <w:t>边界路由、相干 DSP、DWDM、光线路系统</w:t>
            </w:r>
          </w:p>
        </w:tc>
        <w:tc>
          <w:tcPr>
            <w:tcW w:type="dxa" w:w="2438"/>
            <w:vAlign w:val="top"/>
          </w:tcPr>
          <w:p>
            <w:pPr>
              <w:spacing w:after="80" w:before="60" w:line="276" w:lineRule="auto"/>
            </w:pPr>
            <w:r>
              <w:rPr>
                <w:sz w:val="16"/>
              </w:rPr>
              <w:t>距离时延、故障域和可用带宽改变应用可行性</w:t>
            </w:r>
          </w:p>
        </w:tc>
        <w:tc>
          <w:tcPr>
            <w:tcW w:type="dxa" w:w="1313"/>
            <w:vAlign w:val="top"/>
          </w:tcPr>
          <w:p>
            <w:pPr>
              <w:spacing w:after="80" w:before="60" w:line="276" w:lineRule="auto"/>
            </w:pPr>
            <w:hyperlink r:id="rId93">
              <w:r>
                <w:rPr>
                  <w:color w:val="4338CA"/>
                </w:rPr>
                <w:t>[N046]</w:t>
              </w:r>
            </w:hyperlink>
          </w:p>
        </w:tc>
      </w:tr>
    </w:tbl>
    <w:p>
      <w:pPr>
        <w:spacing w:after="0"/>
      </w:pPr>
    </w:p>
    <w:p>
      <w:pPr>
        <w:pStyle w:val="Heading2"/>
      </w:pPr>
      <w:r>
        <w:t>前端、后端、存储和管理网</w:t>
      </w:r>
    </w:p>
    <w:p>
      <w:pPr/>
      <w:r>
        <w:rPr>
          <w:b/>
        </w:rPr>
        <w:t>前端网</w:t>
      </w:r>
      <w:r>
        <w:t>连接用户/服务、登录、控制和业务流量；</w:t>
      </w:r>
      <w:r>
        <w:rPr>
          <w:b/>
        </w:rPr>
        <w:t>后端计算网</w:t>
      </w:r>
      <w:r>
        <w:t>主要服务加速器 collective、分布式训练等大流；</w:t>
      </w:r>
      <w:r>
        <w:rPr>
          <w:b/>
        </w:rPr>
        <w:t>存储网</w:t>
      </w:r>
      <w:r>
        <w:t>输送训练数据、checkpoint、模型和缓存；</w:t>
      </w:r>
      <w:r>
        <w:rPr>
          <w:b/>
        </w:rPr>
        <w:t>带外管理网</w:t>
      </w:r>
      <w:r>
        <w:t>承载 BMC、设备配置与故障恢复。它们可以物理隔离，也可以按需求部分共用；“一张高速网”并不自动满足所有流量的隔离、尾延迟和维护要求。</w:t>
      </w:r>
      <w:hyperlink r:id="rId38">
        <w:r>
          <w:rPr>
            <w:color w:val="4338CA"/>
          </w:rPr>
          <w:t>[N021]</w:t>
        </w:r>
      </w:hyperlink>
      <w:hyperlink r:id="rId39">
        <w:r>
          <w:rPr>
            <w:color w:val="4338CA"/>
          </w:rPr>
          <w:t>[N022]</w:t>
        </w:r>
      </w:hyperlink>
      <w:hyperlink r:id="rId85">
        <w:r>
          <w:rPr>
            <w:color w:val="4338CA"/>
          </w:rPr>
          <w:t>[N027]</w:t>
        </w:r>
      </w:hyperlink>
    </w:p>
    <w:p>
      <w:pPr/>
      <w:r>
        <w:t>一次分布式训练迭代可拆成：存储读取→CPU/加速器预处理→本地计算→机内/跨节点通信→同步与 checkpoint。网络升级是否提高 GPU 利用率，取决于通信是否在关键路径；必须拿实际 collective 消息大小、并发作业、故障恢复和端到端训练时间验证。本文将此视为评估方法，不能由交换机标称吞吐推出训练加速比例。</w:t>
      </w:r>
      <w:hyperlink r:id="rId39">
        <w:r>
          <w:rPr>
            <w:color w:val="4338CA"/>
          </w:rPr>
          <w:t>[N022]</w:t>
        </w:r>
      </w:hyperlink>
      <w:hyperlink r:id="rId92">
        <w:r>
          <w:rPr>
            <w:color w:val="4338CA"/>
          </w:rPr>
          <w:t>[N023]</w:t>
        </w:r>
      </w:hyperlink>
    </w:p>
    <w:p>
      <w:pPr>
        <w:pStyle w:val="Heading2"/>
      </w:pPr>
      <w:r>
        <w:t>ToR、leaf、spine、rail 的逻辑</w:t>
      </w:r>
    </w:p>
    <w:p>
      <w:pPr/>
      <w:r>
        <w:t>ToR（Top of Rack）首先是接入交换机的部署位置/常用称呼；leaf 是拓扑角色，两者经常重合但不是严格同义。leaf 接端点，spine 连接 leaf，规模再扩大可能增加层次或多平面；高密度 AI 系统也可以采用列端、集中交换等布置，不能要求每个机架顶部必有一台交换机。</w:t>
      </w:r>
      <w:hyperlink r:id="rId94">
        <w:r>
          <w:rPr>
            <w:color w:val="4338CA"/>
          </w:rPr>
          <w:t>[N083]</w:t>
        </w:r>
      </w:hyperlink>
    </w:p>
    <w:p>
      <w:pPr/>
      <w:r>
        <w:t>rail/plane 设计的目的在于安排加速器/NIC 与独立网络平面的对应关系，控制故障域和通信局部性。多 rail 不能仅按“几张网卡”判断：还要核实 rank 放置、collective 拓扑、交换端口与路由是否匹配。以下是本文尽调检查，不把某一种厂商拓扑当作通用标准。</w:t>
      </w:r>
      <w:hyperlink r:id="rId88">
        <w:r>
          <w:rPr>
            <w:color w:val="4338CA"/>
          </w:rPr>
          <w:t>[N081]</w:t>
        </w:r>
      </w:hyperlink>
      <w:hyperlink r:id="rId95">
        <w:r>
          <w:rPr>
            <w:color w:val="4338CA"/>
          </w:rPr>
          <w:t>[N082]</w:t>
        </w:r>
      </w:hyperlink>
    </w:p>
    <w:p>
      <w:pPr/>
      <w:r>
        <w:rPr>
          <w:b/>
        </w:rPr>
        <w:t>带宽算例（非产品配置）：</w:t>
      </w:r>
      <w:r>
        <w:t xml:space="preserve"> 48 个 400Gb/s 下联总计 19.2Tb/s，8 个 800Gb/s 上联总计 6.4Tb/s，则下联/上联为 3:1 订阅比；并非每个任务都同时打满，但不能称此拓扑无阻塞。另一个算例：64×800Gb/s=51.2Tb/s，必须核实厂商容量是否按单向端口速率求和、端口组合是否全开，不应再随意乘以 2。</w:t>
      </w:r>
      <w:hyperlink r:id="rId39">
        <w:r>
          <w:rPr>
            <w:color w:val="4338CA"/>
          </w:rPr>
          <w:t>[N022]</w:t>
        </w:r>
      </w:hyperlink>
      <w:hyperlink r:id="rId96">
        <w:r>
          <w:rPr>
            <w:color w:val="4338CA"/>
          </w:rPr>
          <w:t>[N063]</w:t>
        </w:r>
      </w:hyperlink>
      <w:r>
        <w:t>（本文计算）</w:t>
      </w:r>
    </w:p>
    <w:p>
      <w:pPr/>
      <w:r>
        <w:rPr>
          <w:b/>
        </w:rPr>
        <w:t>验证顺序：</w:t>
      </w:r>
      <w:r>
        <w:t xml:space="preserve"> 单端口 BER/丢包→多端口满载→incast/all-to-all→真实 collective→并发作业→链路/交换机失效→维护恢复。把平均吞吐、P99 延迟、重传、PFC 暂停、ECN、GPU 等待分别记录，可以区分“电/光链路好”与“集群网络工作好”。</w:t>
      </w:r>
      <w:hyperlink r:id="rId39">
        <w:r>
          <w:rPr>
            <w:color w:val="4338CA"/>
          </w:rPr>
          <w:t>[N022]</w:t>
        </w:r>
      </w:hyperlink>
      <w:hyperlink r:id="rId89">
        <w:r>
          <w:rPr>
            <w:color w:val="4338CA"/>
          </w:rPr>
          <w:t>[N084]</w:t>
        </w:r>
      </w:hyperlink>
      <w:r>
        <w:t>（本文研究模板）</w:t>
      </w:r>
    </w:p>
    <w:p>
      <w:pPr>
        <w:pStyle w:val="Heading2"/>
      </w:pPr>
      <w:r>
        <w:t>Ethernet、RoCE、InfiniBand 与新标准</w:t>
      </w:r>
    </w:p>
    <w:p>
      <w:pPr/>
      <w:r>
        <w:t>InfiniBand 和 Ethernet 都有 AI 集群应用。RoCE 在以太网承载 RDMA，需要与交换机、NIC、拥塞策略和配置协同；应直接比较实际 workload 的吞吐、尾延迟、扩展、故障恢复、运维和总成本，不能用“Ethernet 天生不适合 AI”或“换成以太网必然便宜”替代验证。</w:t>
      </w:r>
      <w:hyperlink r:id="rId38">
        <w:r>
          <w:rPr>
            <w:color w:val="4338CA"/>
          </w:rPr>
          <w:t>[N021]</w:t>
        </w:r>
      </w:hyperlink>
      <w:hyperlink r:id="rId39">
        <w:r>
          <w:rPr>
            <w:color w:val="4338CA"/>
          </w:rPr>
          <w:t>[N022]</w:t>
        </w:r>
      </w:hyperlink>
    </w:p>
    <w:p>
      <w:pPr/>
      <w:r>
        <w:t>UEC 是围绕 AI/HPC 的以太网通信体系，不只是端口速率。官网版本记录：1.0 首次公开于 2025-06-11，1.0.3 于 2026-07-16，1.1 于 2026-10-12。本文核实版本发布时间，未逐条审阅 1.1 全文，也未验证任意交换机/NIC 已通过该版本完整互操作测试。</w:t>
      </w:r>
      <w:hyperlink r:id="rId92">
        <w:r>
          <w:rPr>
            <w:color w:val="4338CA"/>
          </w:rPr>
          <w:t>[N023]</w:t>
        </w:r>
      </w:hyperlink>
    </w:p>
    <w:p>
      <w:pPr/>
      <w:r>
        <w:t>UALink 1.0 在 2025 年 4 月公开，定位开放 scale-up；它与 UEC 的 scale-out 焦点不同。规范发布、芯片流片、开发板演示、量产服务器、多个厂商互通是不同里程碑。不能将联盟成员数量换算为已部署加速器数量。</w:t>
      </w:r>
      <w:hyperlink r:id="rId40">
        <w:r>
          <w:rPr>
            <w:color w:val="4338CA"/>
          </w:rPr>
          <w:t>[N024]</w:t>
        </w:r>
      </w:hyperlink>
    </w:p>
    <w:p>
      <w:pPr/>
      <w:r>
        <w:t>PCIe 7.0 于 2025-06-11 发布到会员，速率 128GT/s；CXL 4.0 于 2025-11-18 公布，提供 128GT/s、bundled ports 与内存 RAS 增强。这些是规范状态：具体机器仍按 CPU、NIC、retimer、CXL 设备支持代际核查。</w:t>
      </w:r>
      <w:hyperlink r:id="rId44">
        <w:r>
          <w:rPr>
            <w:color w:val="4338CA"/>
          </w:rPr>
          <w:t>[N025]</w:t>
        </w:r>
      </w:hyperlink>
      <w:hyperlink r:id="rId45">
        <w:r>
          <w:rPr>
            <w:color w:val="4338CA"/>
          </w:rPr>
          <w:t>[N026]</w:t>
        </w:r>
      </w:hyperlink>
    </w:p>
    <w:p>
      <w:pPr>
        <w:pStyle w:val="Heading2"/>
      </w:pPr>
      <w:r>
        <w:t>铜线并未因光互联而消失</w:t>
      </w:r>
    </w:p>
    <w:tbl>
      <w:tblPr>
        <w:tblW w:type="auto" w:w="0"/>
        <w:jc w:val="center"/>
        <w:tblLayout w:type="fixed"/>
        <w:tblLook w:firstColumn="1" w:firstRow="1" w:lastColumn="0" w:lastRow="0" w:noHBand="0" w:noVBand="1" w:val="04A0"/>
      </w:tblPr>
      <w:tblGrid>
        <w:gridCol w:w="1049"/>
        <w:gridCol w:w="1724"/>
        <w:gridCol w:w="3198"/>
        <w:gridCol w:w="2673"/>
        <w:gridCol w:w="1249"/>
      </w:tblGrid>
      <w:tr>
        <w:trPr>
          <w:tblHeader/>
        </w:trPr>
        <w:tc>
          <w:tcPr>
            <w:tcW w:type="dxa" w:w="1049"/>
            <w:vAlign w:val="top"/>
            <w:shd w:fill="E0E7FF"/>
          </w:tcPr>
          <w:p>
            <w:pPr>
              <w:spacing w:after="80" w:before="60" w:line="276" w:lineRule="auto"/>
            </w:pPr>
            <w:r>
              <w:rPr>
                <w:b/>
                <w:sz w:val="16"/>
              </w:rPr>
              <w:t>实现</w:t>
            </w:r>
          </w:p>
        </w:tc>
        <w:tc>
          <w:tcPr>
            <w:tcW w:type="dxa" w:w="1724"/>
            <w:vAlign w:val="top"/>
            <w:shd w:fill="E0E7FF"/>
          </w:tcPr>
          <w:p>
            <w:pPr>
              <w:spacing w:after="80" w:before="60" w:line="276" w:lineRule="auto"/>
            </w:pPr>
            <w:r>
              <w:rPr>
                <w:b/>
                <w:sz w:val="16"/>
              </w:rPr>
              <w:t>信号路径</w:t>
            </w:r>
          </w:p>
        </w:tc>
        <w:tc>
          <w:tcPr>
            <w:tcW w:type="dxa" w:w="3198"/>
            <w:vAlign w:val="top"/>
            <w:shd w:fill="E0E7FF"/>
          </w:tcPr>
          <w:p>
            <w:pPr>
              <w:spacing w:after="80" w:before="60" w:line="276" w:lineRule="auto"/>
            </w:pPr>
            <w:r>
              <w:rPr>
                <w:b/>
                <w:sz w:val="16"/>
              </w:rPr>
              <w:t>优点/限制的来源</w:t>
            </w:r>
          </w:p>
        </w:tc>
        <w:tc>
          <w:tcPr>
            <w:tcW w:type="dxa" w:w="2673"/>
            <w:vAlign w:val="top"/>
            <w:shd w:fill="E0E7FF"/>
          </w:tcPr>
          <w:p>
            <w:pPr>
              <w:spacing w:after="80" w:before="60" w:line="276" w:lineRule="auto"/>
            </w:pPr>
            <w:r>
              <w:rPr>
                <w:b/>
                <w:sz w:val="16"/>
              </w:rPr>
              <w:t>典型调查对象</w:t>
            </w:r>
          </w:p>
        </w:tc>
        <w:tc>
          <w:tcPr>
            <w:tcW w:type="dxa" w:w="1249"/>
            <w:vAlign w:val="top"/>
            <w:shd w:fill="E0E7FF"/>
          </w:tcPr>
          <w:p>
            <w:pPr>
              <w:spacing w:after="80" w:before="60" w:line="276" w:lineRule="auto"/>
            </w:pPr>
            <w:r>
              <w:rPr>
                <w:b/>
                <w:sz w:val="16"/>
              </w:rPr>
              <w:t>证据</w:t>
            </w:r>
          </w:p>
        </w:tc>
      </w:tr>
      <w:tr>
        <w:trPr>
          <w:cantSplit/>
        </w:trPr>
        <w:tc>
          <w:tcPr>
            <w:tcW w:type="dxa" w:w="1049"/>
            <w:vAlign w:val="top"/>
          </w:tcPr>
          <w:p>
            <w:pPr>
              <w:spacing w:after="80" w:before="60" w:line="276" w:lineRule="auto"/>
            </w:pPr>
            <w:r>
              <w:rPr>
                <w:sz w:val="16"/>
              </w:rPr>
              <w:t>DAC</w:t>
            </w:r>
          </w:p>
        </w:tc>
        <w:tc>
          <w:tcPr>
            <w:tcW w:type="dxa" w:w="1724"/>
            <w:vAlign w:val="top"/>
          </w:tcPr>
          <w:p>
            <w:pPr>
              <w:spacing w:after="80" w:before="60" w:line="276" w:lineRule="auto"/>
            </w:pPr>
            <w:r>
              <w:rPr>
                <w:sz w:val="16"/>
              </w:rPr>
              <w:t>被动铜导体与连接器</w:t>
            </w:r>
          </w:p>
        </w:tc>
        <w:tc>
          <w:tcPr>
            <w:tcW w:type="dxa" w:w="3198"/>
            <w:vAlign w:val="top"/>
          </w:tcPr>
          <w:p>
            <w:pPr>
              <w:spacing w:after="80" w:before="60" w:line="276" w:lineRule="auto"/>
            </w:pPr>
            <w:r>
              <w:rPr>
                <w:sz w:val="16"/>
              </w:rPr>
              <w:t>低功耗/低成本；随速率、线径和板级损耗受限</w:t>
            </w:r>
          </w:p>
        </w:tc>
        <w:tc>
          <w:tcPr>
            <w:tcW w:type="dxa" w:w="2673"/>
            <w:vAlign w:val="top"/>
          </w:tcPr>
          <w:p>
            <w:pPr>
              <w:spacing w:after="80" w:before="60" w:line="276" w:lineRule="auto"/>
            </w:pPr>
            <w:r>
              <w:rPr>
                <w:sz w:val="16"/>
              </w:rPr>
              <w:t>插损、弯曲半径、长度与插接可靠性</w:t>
            </w:r>
          </w:p>
        </w:tc>
        <w:tc>
          <w:tcPr>
            <w:tcW w:type="dxa" w:w="1249"/>
            <w:vAlign w:val="top"/>
          </w:tcPr>
          <w:p>
            <w:pPr>
              <w:spacing w:after="80" w:before="60" w:line="276" w:lineRule="auto"/>
            </w:pPr>
            <w:hyperlink r:id="rId97">
              <w:r>
                <w:rPr>
                  <w:color w:val="4338CA"/>
                </w:rPr>
                <w:t>[N031]</w:t>
              </w:r>
            </w:hyperlink>
          </w:p>
        </w:tc>
      </w:tr>
      <w:tr>
        <w:trPr>
          <w:cantSplit/>
        </w:trPr>
        <w:tc>
          <w:tcPr>
            <w:tcW w:type="dxa" w:w="1049"/>
            <w:vAlign w:val="top"/>
          </w:tcPr>
          <w:p>
            <w:pPr>
              <w:spacing w:after="80" w:before="60" w:line="276" w:lineRule="auto"/>
            </w:pPr>
            <w:r>
              <w:rPr>
                <w:sz w:val="16"/>
              </w:rPr>
              <w:t>ACC</w:t>
            </w:r>
          </w:p>
        </w:tc>
        <w:tc>
          <w:tcPr>
            <w:tcW w:type="dxa" w:w="1724"/>
            <w:vAlign w:val="top"/>
          </w:tcPr>
          <w:p>
            <w:pPr>
              <w:spacing w:after="80" w:before="60" w:line="276" w:lineRule="auto"/>
            </w:pPr>
            <w:r>
              <w:rPr>
                <w:sz w:val="16"/>
              </w:rPr>
              <w:t>铜缆加模拟均衡/放大</w:t>
            </w:r>
          </w:p>
        </w:tc>
        <w:tc>
          <w:tcPr>
            <w:tcW w:type="dxa" w:w="3198"/>
            <w:vAlign w:val="top"/>
          </w:tcPr>
          <w:p>
            <w:pPr>
              <w:spacing w:after="80" w:before="60" w:line="276" w:lineRule="auto"/>
            </w:pPr>
            <w:r>
              <w:rPr>
                <w:sz w:val="16"/>
              </w:rPr>
              <w:t>降低复杂度；端点信号预算仍需协同</w:t>
            </w:r>
          </w:p>
        </w:tc>
        <w:tc>
          <w:tcPr>
            <w:tcW w:type="dxa" w:w="2673"/>
            <w:vAlign w:val="top"/>
          </w:tcPr>
          <w:p>
            <w:pPr>
              <w:spacing w:after="80" w:before="60" w:line="276" w:lineRule="auto"/>
            </w:pPr>
            <w:r>
              <w:rPr>
                <w:sz w:val="16"/>
              </w:rPr>
              <w:t>模拟架构、兼容性、链路余量</w:t>
            </w:r>
          </w:p>
        </w:tc>
        <w:tc>
          <w:tcPr>
            <w:tcW w:type="dxa" w:w="1249"/>
            <w:vAlign w:val="top"/>
          </w:tcPr>
          <w:p>
            <w:pPr>
              <w:spacing w:after="80" w:before="60" w:line="276" w:lineRule="auto"/>
            </w:pPr>
            <w:hyperlink r:id="rId97">
              <w:r>
                <w:rPr>
                  <w:color w:val="4338CA"/>
                </w:rPr>
                <w:t>[N031]</w:t>
              </w:r>
            </w:hyperlink>
          </w:p>
        </w:tc>
      </w:tr>
      <w:tr>
        <w:trPr>
          <w:cantSplit/>
        </w:trPr>
        <w:tc>
          <w:tcPr>
            <w:tcW w:type="dxa" w:w="1049"/>
            <w:vAlign w:val="top"/>
          </w:tcPr>
          <w:p>
            <w:pPr>
              <w:spacing w:after="80" w:before="60" w:line="276" w:lineRule="auto"/>
            </w:pPr>
            <w:r>
              <w:rPr>
                <w:sz w:val="16"/>
              </w:rPr>
              <w:t>AEC</w:t>
            </w:r>
          </w:p>
        </w:tc>
        <w:tc>
          <w:tcPr>
            <w:tcW w:type="dxa" w:w="1724"/>
            <w:vAlign w:val="top"/>
          </w:tcPr>
          <w:p>
            <w:pPr>
              <w:spacing w:after="80" w:before="60" w:line="276" w:lineRule="auto"/>
            </w:pPr>
            <w:r>
              <w:rPr>
                <w:sz w:val="16"/>
              </w:rPr>
              <w:t>铜缆加重定时/DSP</w:t>
            </w:r>
          </w:p>
        </w:tc>
        <w:tc>
          <w:tcPr>
            <w:tcW w:type="dxa" w:w="3198"/>
            <w:vAlign w:val="top"/>
          </w:tcPr>
          <w:p>
            <w:pPr>
              <w:spacing w:after="80" w:before="60" w:line="276" w:lineRule="auto"/>
            </w:pPr>
            <w:r>
              <w:rPr>
                <w:sz w:val="16"/>
              </w:rPr>
              <w:t>可改善链路与运维诊断；增加功耗/成本/时延</w:t>
            </w:r>
          </w:p>
        </w:tc>
        <w:tc>
          <w:tcPr>
            <w:tcW w:type="dxa" w:w="2673"/>
            <w:vAlign w:val="top"/>
          </w:tcPr>
          <w:p>
            <w:pPr>
              <w:spacing w:after="80" w:before="60" w:line="276" w:lineRule="auto"/>
            </w:pPr>
            <w:r>
              <w:rPr>
                <w:sz w:val="16"/>
              </w:rPr>
              <w:t>SerDes、固件、误码和大规模链路稳定性</w:t>
            </w:r>
          </w:p>
        </w:tc>
        <w:tc>
          <w:tcPr>
            <w:tcW w:type="dxa" w:w="1249"/>
            <w:vAlign w:val="top"/>
          </w:tcPr>
          <w:p>
            <w:pPr>
              <w:spacing w:after="80" w:before="60" w:line="276" w:lineRule="auto"/>
            </w:pPr>
            <w:hyperlink r:id="rId98">
              <w:r>
                <w:rPr>
                  <w:color w:val="4338CA"/>
                </w:rPr>
                <w:t>[N089]</w:t>
              </w:r>
            </w:hyperlink>
          </w:p>
        </w:tc>
      </w:tr>
      <w:tr>
        <w:trPr>
          <w:cantSplit/>
        </w:trPr>
        <w:tc>
          <w:tcPr>
            <w:tcW w:type="dxa" w:w="1049"/>
            <w:vAlign w:val="top"/>
          </w:tcPr>
          <w:p>
            <w:pPr>
              <w:spacing w:after="80" w:before="60" w:line="276" w:lineRule="auto"/>
            </w:pPr>
            <w:r>
              <w:rPr>
                <w:sz w:val="16"/>
              </w:rPr>
              <w:t>AOC</w:t>
            </w:r>
          </w:p>
        </w:tc>
        <w:tc>
          <w:tcPr>
            <w:tcW w:type="dxa" w:w="1724"/>
            <w:vAlign w:val="top"/>
          </w:tcPr>
          <w:p>
            <w:pPr>
              <w:spacing w:after="80" w:before="60" w:line="276" w:lineRule="auto"/>
            </w:pPr>
            <w:r>
              <w:rPr>
                <w:sz w:val="16"/>
              </w:rPr>
              <w:t>两端光电转换与固定光纤整体</w:t>
            </w:r>
          </w:p>
        </w:tc>
        <w:tc>
          <w:tcPr>
            <w:tcW w:type="dxa" w:w="3198"/>
            <w:vAlign w:val="top"/>
          </w:tcPr>
          <w:p>
            <w:pPr>
              <w:spacing w:after="80" w:before="60" w:line="276" w:lineRule="auto"/>
            </w:pPr>
            <w:r>
              <w:rPr>
                <w:sz w:val="16"/>
              </w:rPr>
              <w:t>安装方便；整根更换与布线维护需衡量</w:t>
            </w:r>
          </w:p>
        </w:tc>
        <w:tc>
          <w:tcPr>
            <w:tcW w:type="dxa" w:w="2673"/>
            <w:vAlign w:val="top"/>
          </w:tcPr>
          <w:p>
            <w:pPr>
              <w:spacing w:after="80" w:before="60" w:line="276" w:lineRule="auto"/>
            </w:pPr>
            <w:r>
              <w:rPr>
                <w:sz w:val="16"/>
              </w:rPr>
              <w:t>功耗、线缆现场更换、模块配合</w:t>
            </w:r>
          </w:p>
        </w:tc>
        <w:tc>
          <w:tcPr>
            <w:tcW w:type="dxa" w:w="1249"/>
            <w:vAlign w:val="top"/>
          </w:tcPr>
          <w:p>
            <w:pPr>
              <w:spacing w:after="80" w:before="60" w:line="276" w:lineRule="auto"/>
            </w:pPr>
            <w:hyperlink r:id="rId99">
              <w:r>
                <w:rPr>
                  <w:color w:val="4338CA"/>
                </w:rPr>
                <w:t>[N030]</w:t>
              </w:r>
            </w:hyperlink>
            <w:hyperlink r:id="rId100">
              <w:r>
                <w:rPr>
                  <w:color w:val="4338CA"/>
                </w:rPr>
                <w:t>[N048]</w:t>
              </w:r>
            </w:hyperlink>
          </w:p>
        </w:tc>
      </w:tr>
      <w:tr>
        <w:trPr>
          <w:cantSplit/>
        </w:trPr>
        <w:tc>
          <w:tcPr>
            <w:tcW w:type="dxa" w:w="1049"/>
            <w:vAlign w:val="top"/>
          </w:tcPr>
          <w:p>
            <w:pPr>
              <w:spacing w:after="80" w:before="60" w:line="276" w:lineRule="auto"/>
            </w:pPr>
            <w:r>
              <w:rPr>
                <w:sz w:val="16"/>
              </w:rPr>
              <w:t>光模块+光纤</w:t>
            </w:r>
          </w:p>
        </w:tc>
        <w:tc>
          <w:tcPr>
            <w:tcW w:type="dxa" w:w="1724"/>
            <w:vAlign w:val="top"/>
          </w:tcPr>
          <w:p>
            <w:pPr>
              <w:spacing w:after="80" w:before="60" w:line="276" w:lineRule="auto"/>
            </w:pPr>
            <w:r>
              <w:rPr>
                <w:sz w:val="16"/>
              </w:rPr>
              <w:t>可插拔模块与独立光缆</w:t>
            </w:r>
          </w:p>
        </w:tc>
        <w:tc>
          <w:tcPr>
            <w:tcW w:type="dxa" w:w="3198"/>
            <w:vAlign w:val="top"/>
          </w:tcPr>
          <w:p>
            <w:pPr>
              <w:spacing w:after="80" w:before="60" w:line="276" w:lineRule="auto"/>
            </w:pPr>
            <w:r>
              <w:rPr>
                <w:sz w:val="16"/>
              </w:rPr>
              <w:t>分离维护、距离扩展；连接器和清洁进入预算</w:t>
            </w:r>
          </w:p>
        </w:tc>
        <w:tc>
          <w:tcPr>
            <w:tcW w:type="dxa" w:w="2673"/>
            <w:vAlign w:val="top"/>
          </w:tcPr>
          <w:p>
            <w:pPr>
              <w:spacing w:after="80" w:before="60" w:line="276" w:lineRule="auto"/>
            </w:pPr>
            <w:r>
              <w:rPr>
                <w:sz w:val="16"/>
              </w:rPr>
              <w:t>光功率/插损/反射、DSP、FEC、温度</w:t>
            </w:r>
          </w:p>
        </w:tc>
        <w:tc>
          <w:tcPr>
            <w:tcW w:type="dxa" w:w="1249"/>
            <w:vAlign w:val="top"/>
          </w:tcPr>
          <w:p>
            <w:pPr>
              <w:spacing w:after="80" w:before="60" w:line="276" w:lineRule="auto"/>
            </w:pPr>
            <w:hyperlink r:id="rId99">
              <w:r>
                <w:rPr>
                  <w:color w:val="4338CA"/>
                </w:rPr>
                <w:t>[N030]</w:t>
              </w:r>
            </w:hyperlink>
            <w:hyperlink r:id="rId79">
              <w:r>
                <w:rPr>
                  <w:color w:val="4338CA"/>
                </w:rPr>
                <w:t>[N045]</w:t>
              </w:r>
            </w:hyperlink>
          </w:p>
        </w:tc>
      </w:tr>
      <w:tr>
        <w:trPr>
          <w:cantSplit/>
        </w:trPr>
        <w:tc>
          <w:tcPr>
            <w:tcW w:type="dxa" w:w="1049"/>
            <w:vAlign w:val="top"/>
          </w:tcPr>
          <w:p>
            <w:pPr>
              <w:spacing w:after="80" w:before="60" w:line="276" w:lineRule="auto"/>
            </w:pPr>
            <w:r>
              <w:rPr>
                <w:sz w:val="16"/>
              </w:rPr>
              <w:t>板级 retimer</w:t>
            </w:r>
          </w:p>
        </w:tc>
        <w:tc>
          <w:tcPr>
            <w:tcW w:type="dxa" w:w="1724"/>
            <w:vAlign w:val="top"/>
          </w:tcPr>
          <w:p>
            <w:pPr>
              <w:spacing w:after="80" w:before="60" w:line="276" w:lineRule="auto"/>
            </w:pPr>
            <w:r>
              <w:rPr>
                <w:sz w:val="16"/>
              </w:rPr>
              <w:t>电链路中恢复/重新发送信号</w:t>
            </w:r>
          </w:p>
        </w:tc>
        <w:tc>
          <w:tcPr>
            <w:tcW w:type="dxa" w:w="3198"/>
            <w:vAlign w:val="top"/>
          </w:tcPr>
          <w:p>
            <w:pPr>
              <w:spacing w:after="80" w:before="60" w:line="276" w:lineRule="auto"/>
            </w:pPr>
            <w:r>
              <w:rPr>
                <w:sz w:val="16"/>
              </w:rPr>
              <w:t>延伸 PCIe/CXL 等电信号通道，不是网络交换</w:t>
            </w:r>
          </w:p>
        </w:tc>
        <w:tc>
          <w:tcPr>
            <w:tcW w:type="dxa" w:w="2673"/>
            <w:vAlign w:val="top"/>
          </w:tcPr>
          <w:p>
            <w:pPr>
              <w:spacing w:after="80" w:before="60" w:line="276" w:lineRule="auto"/>
            </w:pPr>
            <w:r>
              <w:rPr>
                <w:sz w:val="16"/>
              </w:rPr>
              <w:t>协议代际、拓扑、热、遥测与软件支持</w:t>
            </w:r>
          </w:p>
        </w:tc>
        <w:tc>
          <w:tcPr>
            <w:tcW w:type="dxa" w:w="1249"/>
            <w:vAlign w:val="top"/>
          </w:tcPr>
          <w:p>
            <w:pPr>
              <w:spacing w:after="80" w:before="60" w:line="276" w:lineRule="auto"/>
            </w:pPr>
            <w:hyperlink r:id="rId91">
              <w:r>
                <w:rPr>
                  <w:color w:val="4338CA"/>
                </w:rPr>
                <w:t>[N028]</w:t>
              </w:r>
            </w:hyperlink>
          </w:p>
        </w:tc>
      </w:tr>
    </w:tbl>
    <w:p>
      <w:pPr>
        <w:spacing w:after="0"/>
      </w:pPr>
    </w:p>
    <w:p>
      <w:pPr/>
      <w:r>
        <w:t>米级、百米级、公里级只能作场景提示，不能作材料天生边界。距离由速率、波长、调制、FEC、收发器、连接器/熔接损耗和环境共同决定；具体采购必须查对应标准与模块数据表。</w:t>
      </w:r>
      <w:hyperlink r:id="rId97">
        <w:r>
          <w:rPr>
            <w:color w:val="4338CA"/>
          </w:rPr>
          <w:t>[N031]</w:t>
        </w:r>
      </w:hyperlink>
      <w:hyperlink r:id="rId93">
        <w:r>
          <w:rPr>
            <w:color w:val="4338CA"/>
          </w:rPr>
          <w:t>[N046]</w:t>
        </w:r>
      </w:hyperlink>
      <w:hyperlink r:id="rId101">
        <w:r>
          <w:rPr>
            <w:color w:val="4338CA"/>
          </w:rPr>
          <w:t>[N049]</w:t>
        </w:r>
      </w:hyperlink>
      <w:hyperlink r:id="rId96">
        <w:r>
          <w:rPr>
            <w:color w:val="4338CA"/>
          </w:rPr>
          <w:t>[N063]</w:t>
        </w:r>
      </w:hyperlink>
    </w:p>
    <w:p>
      <w:pPr>
        <w:pStyle w:val="Heading1"/>
        <w:pageBreakBefore/>
      </w:pPr>
      <w:r>
        <w:t>03B  把一条光链路拆到材料、晶圆、装配与测试</w:t>
      </w:r>
    </w:p>
    <w:p>
      <w:r>
        <w:drawing>
          <wp:inline xmlns:a="http://schemas.openxmlformats.org/drawingml/2006/main" xmlns:pic="http://schemas.openxmlformats.org/drawingml/2006/picture">
            <wp:extent cx="6281928" cy="4445477"/>
            <wp:docPr id="4" name="Picture 4"/>
            <wp:cNvGraphicFramePr>
              <a:graphicFrameLocks noChangeAspect="1"/>
            </wp:cNvGraphicFramePr>
            <a:graphic>
              <a:graphicData uri="http://schemas.openxmlformats.org/drawingml/2006/picture">
                <pic:pic>
                  <pic:nvPicPr>
                    <pic:cNvPr id="0" name="05-optics.png"/>
                    <pic:cNvPicPr/>
                  </pic:nvPicPr>
                  <pic:blipFill>
                    <a:blip r:embed="rId102"/>
                    <a:stretch>
                      <a:fillRect/>
                    </a:stretch>
                  </pic:blipFill>
                  <pic:spPr>
                    <a:xfrm>
                      <a:off x="0" y="0"/>
                      <a:ext cx="6281928" cy="4445477"/>
                    </a:xfrm>
                    <a:prstGeom prst="rect"/>
                  </pic:spPr>
                </pic:pic>
              </a:graphicData>
            </a:graphic>
          </wp:inline>
        </w:drawing>
      </w:r>
    </w:p>
    <w:p>
      <w:pPr>
        <w:jc w:val="center"/>
      </w:pPr>
      <w:r>
        <w:t>光互联信号与制造链</w:t>
      </w:r>
    </w:p>
    <w:p>
      <w:pPr>
        <w:pStyle w:val="Heading2"/>
      </w:pPr>
      <w:r>
        <w:t>先看信号链 再谈 CPO</w:t>
      </w:r>
    </w:p>
    <w:p>
      <w:pPr/>
      <w:r>
        <w:t>一条典型强度调制光链路的发送方向可抽象为：交换 ASIC/NIC 电信号→电通道/SerDes→DSP 或模拟驱动→激光/调制器→耦合器→光纤；接收方向是光纤→光电探测器→TIA→后续信号处理→主芯片。不是每个模块都包含完全相同的 DSP、激光和调制器组合。</w:t>
      </w:r>
      <w:hyperlink r:id="rId87">
        <w:r>
          <w:rPr>
            <w:color w:val="4338CA"/>
          </w:rPr>
          <w:t>[N090]</w:t>
        </w:r>
      </w:hyperlink>
      <w:hyperlink r:id="rId103">
        <w:r>
          <w:rPr>
            <w:color w:val="4338CA"/>
          </w:rPr>
          <w:t>[N033]</w:t>
        </w:r>
      </w:hyperlink>
      <w:hyperlink r:id="rId104">
        <w:r>
          <w:rPr>
            <w:color w:val="4338CA"/>
          </w:rPr>
          <w:t>[N087]</w:t>
        </w:r>
      </w:hyperlink>
    </w:p>
    <w:p>
      <w:pPr/>
      <w:r>
        <w:t>光模块里“有硅”不代表激光在硅上直接发光；硅光 PIC 可以承担调制、波导、复用与探测等功能，光源仍可由 InP 平台提供。电子 EIC、光子 PIC、激光、光纤连接和封装是不同生产与测试对象。</w:t>
      </w:r>
      <w:hyperlink r:id="rId103">
        <w:r>
          <w:rPr>
            <w:color w:val="4338CA"/>
          </w:rPr>
          <w:t>[N033]</w:t>
        </w:r>
      </w:hyperlink>
      <w:hyperlink r:id="rId105">
        <w:r>
          <w:rPr>
            <w:color w:val="4338CA"/>
          </w:rPr>
          <w:t>[N034]</w:t>
        </w:r>
      </w:hyperlink>
      <w:hyperlink r:id="rId106">
        <w:r>
          <w:rPr>
            <w:color w:val="4338CA"/>
          </w:rPr>
          <w:t>[N036]</w:t>
        </w:r>
      </w:hyperlink>
    </w:p>
    <w:tbl>
      <w:tblPr>
        <w:tblW w:type="auto" w:w="0"/>
        <w:jc w:val="center"/>
        <w:tblLayout w:type="fixed"/>
        <w:tblLook w:firstColumn="1" w:firstRow="1" w:lastColumn="0" w:lastRow="0" w:noHBand="0" w:noVBand="1" w:val="04A0"/>
      </w:tblPr>
      <w:tblGrid>
        <w:gridCol w:w="807"/>
        <w:gridCol w:w="2359"/>
        <w:gridCol w:w="2421"/>
        <w:gridCol w:w="3270"/>
        <w:gridCol w:w="1035"/>
      </w:tblGrid>
      <w:tr>
        <w:trPr>
          <w:tblHeader/>
        </w:trPr>
        <w:tc>
          <w:tcPr>
            <w:tcW w:type="dxa" w:w="807"/>
            <w:vAlign w:val="top"/>
            <w:shd w:fill="E0E7FF"/>
          </w:tcPr>
          <w:p>
            <w:pPr>
              <w:spacing w:after="80" w:before="60" w:line="276" w:lineRule="auto"/>
            </w:pPr>
            <w:r>
              <w:rPr>
                <w:b/>
                <w:sz w:val="16"/>
              </w:rPr>
              <w:t>方案</w:t>
            </w:r>
          </w:p>
        </w:tc>
        <w:tc>
          <w:tcPr>
            <w:tcW w:type="dxa" w:w="2359"/>
            <w:vAlign w:val="top"/>
            <w:shd w:fill="E0E7FF"/>
          </w:tcPr>
          <w:p>
            <w:pPr>
              <w:spacing w:after="80" w:before="60" w:line="276" w:lineRule="auto"/>
            </w:pPr>
            <w:r>
              <w:rPr>
                <w:b/>
                <w:sz w:val="16"/>
              </w:rPr>
              <w:t>光电边界放在哪里</w:t>
            </w:r>
          </w:p>
        </w:tc>
        <w:tc>
          <w:tcPr>
            <w:tcW w:type="dxa" w:w="2421"/>
            <w:vAlign w:val="top"/>
            <w:shd w:fill="E0E7FF"/>
          </w:tcPr>
          <w:p>
            <w:pPr>
              <w:spacing w:after="80" w:before="60" w:line="276" w:lineRule="auto"/>
            </w:pPr>
            <w:r>
              <w:rPr>
                <w:b/>
                <w:sz w:val="16"/>
              </w:rPr>
              <w:t>主要系统权衡</w:t>
            </w:r>
          </w:p>
        </w:tc>
        <w:tc>
          <w:tcPr>
            <w:tcW w:type="dxa" w:w="3270"/>
            <w:vAlign w:val="top"/>
            <w:shd w:fill="E0E7FF"/>
          </w:tcPr>
          <w:p>
            <w:pPr>
              <w:spacing w:after="80" w:before="60" w:line="276" w:lineRule="auto"/>
            </w:pPr>
            <w:r>
              <w:rPr>
                <w:b/>
                <w:sz w:val="16"/>
              </w:rPr>
              <w:t>截至检索日应怎样表述</w:t>
            </w:r>
          </w:p>
        </w:tc>
        <w:tc>
          <w:tcPr>
            <w:tcW w:type="dxa" w:w="1035"/>
            <w:vAlign w:val="top"/>
            <w:shd w:fill="E0E7FF"/>
          </w:tcPr>
          <w:p>
            <w:pPr>
              <w:spacing w:after="80" w:before="60" w:line="276" w:lineRule="auto"/>
            </w:pPr>
            <w:r>
              <w:rPr>
                <w:b/>
                <w:sz w:val="16"/>
              </w:rPr>
              <w:t>证据</w:t>
            </w:r>
          </w:p>
        </w:tc>
      </w:tr>
      <w:tr>
        <w:trPr>
          <w:cantSplit/>
        </w:trPr>
        <w:tc>
          <w:tcPr>
            <w:tcW w:type="dxa" w:w="807"/>
            <w:vAlign w:val="top"/>
          </w:tcPr>
          <w:p>
            <w:pPr>
              <w:spacing w:after="80" w:before="60" w:line="276" w:lineRule="auto"/>
            </w:pPr>
            <w:r>
              <w:rPr>
                <w:sz w:val="16"/>
              </w:rPr>
              <w:t>retimed pluggable</w:t>
            </w:r>
          </w:p>
        </w:tc>
        <w:tc>
          <w:tcPr>
            <w:tcW w:type="dxa" w:w="2359"/>
            <w:vAlign w:val="top"/>
          </w:tcPr>
          <w:p>
            <w:pPr>
              <w:spacing w:after="80" w:before="60" w:line="276" w:lineRule="auto"/>
            </w:pPr>
            <w:r>
              <w:rPr>
                <w:sz w:val="16"/>
              </w:rPr>
              <w:t>前面板可插拔模块中含信号恢复/DSP</w:t>
            </w:r>
          </w:p>
        </w:tc>
        <w:tc>
          <w:tcPr>
            <w:tcW w:type="dxa" w:w="2421"/>
            <w:vAlign w:val="top"/>
          </w:tcPr>
          <w:p>
            <w:pPr>
              <w:spacing w:after="80" w:before="60" w:line="276" w:lineRule="auto"/>
            </w:pPr>
            <w:r>
              <w:rPr>
                <w:sz w:val="16"/>
              </w:rPr>
              <w:t>互操作和维护方便；有模块功耗及板级长电通道</w:t>
            </w:r>
          </w:p>
        </w:tc>
        <w:tc>
          <w:tcPr>
            <w:tcW w:type="dxa" w:w="3270"/>
            <w:vAlign w:val="top"/>
          </w:tcPr>
          <w:p>
            <w:pPr>
              <w:spacing w:after="80" w:before="60" w:line="276" w:lineRule="auto"/>
            </w:pPr>
            <w:r>
              <w:rPr>
                <w:sz w:val="16"/>
              </w:rPr>
              <w:t>已有多代产品；按具体400G/800G/1.6T机型核查</w:t>
            </w:r>
          </w:p>
        </w:tc>
        <w:tc>
          <w:tcPr>
            <w:tcW w:type="dxa" w:w="1035"/>
            <w:vAlign w:val="top"/>
          </w:tcPr>
          <w:p>
            <w:pPr>
              <w:spacing w:after="80" w:before="60" w:line="276" w:lineRule="auto"/>
            </w:pPr>
            <w:hyperlink r:id="rId107">
              <w:r>
                <w:rPr>
                  <w:color w:val="4338CA"/>
                </w:rPr>
                <w:t>[N029]</w:t>
              </w:r>
            </w:hyperlink>
            <w:hyperlink r:id="rId100">
              <w:r>
                <w:rPr>
                  <w:color w:val="4338CA"/>
                </w:rPr>
                <w:t>[N048]</w:t>
              </w:r>
            </w:hyperlink>
          </w:p>
        </w:tc>
      </w:tr>
      <w:tr>
        <w:trPr>
          <w:cantSplit/>
        </w:trPr>
        <w:tc>
          <w:tcPr>
            <w:tcW w:type="dxa" w:w="807"/>
            <w:vAlign w:val="top"/>
          </w:tcPr>
          <w:p>
            <w:pPr>
              <w:spacing w:after="80" w:before="60" w:line="276" w:lineRule="auto"/>
            </w:pPr>
            <w:r>
              <w:rPr>
                <w:sz w:val="16"/>
              </w:rPr>
              <w:t>LPO</w:t>
            </w:r>
          </w:p>
        </w:tc>
        <w:tc>
          <w:tcPr>
            <w:tcW w:type="dxa" w:w="2359"/>
            <w:vAlign w:val="top"/>
          </w:tcPr>
          <w:p>
            <w:pPr>
              <w:spacing w:after="80" w:before="60" w:line="276" w:lineRule="auto"/>
            </w:pPr>
            <w:r>
              <w:rPr>
                <w:sz w:val="16"/>
              </w:rPr>
              <w:t>模块保留线性模拟收发链，将更多均衡压力留在主机端</w:t>
            </w:r>
          </w:p>
        </w:tc>
        <w:tc>
          <w:tcPr>
            <w:tcW w:type="dxa" w:w="2421"/>
            <w:vAlign w:val="top"/>
          </w:tcPr>
          <w:p>
            <w:pPr>
              <w:spacing w:after="80" w:before="60" w:line="276" w:lineRule="auto"/>
            </w:pPr>
            <w:r>
              <w:rPr>
                <w:sz w:val="16"/>
              </w:rPr>
              <w:t>可降低模块功耗；主机SerDes、线性度、通道协同更关键</w:t>
            </w:r>
          </w:p>
        </w:tc>
        <w:tc>
          <w:tcPr>
            <w:tcW w:type="dxa" w:w="3270"/>
            <w:vAlign w:val="top"/>
          </w:tcPr>
          <w:p>
            <w:pPr>
              <w:spacing w:after="80" w:before="60" w:line="276" w:lineRule="auto"/>
            </w:pPr>
            <w:r>
              <w:rPr>
                <w:sz w:val="16"/>
              </w:rPr>
              <w:t>产品与演示并存，不等于任意端口可直接替换</w:t>
            </w:r>
          </w:p>
        </w:tc>
        <w:tc>
          <w:tcPr>
            <w:tcW w:type="dxa" w:w="1035"/>
            <w:vAlign w:val="top"/>
          </w:tcPr>
          <w:p>
            <w:pPr>
              <w:spacing w:after="80" w:before="60" w:line="276" w:lineRule="auto"/>
            </w:pPr>
            <w:hyperlink r:id="rId99">
              <w:r>
                <w:rPr>
                  <w:color w:val="4338CA"/>
                </w:rPr>
                <w:t>[N030]</w:t>
              </w:r>
            </w:hyperlink>
            <w:hyperlink r:id="rId101">
              <w:r>
                <w:rPr>
                  <w:color w:val="4338CA"/>
                </w:rPr>
                <w:t>[N049]</w:t>
              </w:r>
            </w:hyperlink>
          </w:p>
        </w:tc>
      </w:tr>
      <w:tr>
        <w:trPr>
          <w:cantSplit/>
        </w:trPr>
        <w:tc>
          <w:tcPr>
            <w:tcW w:type="dxa" w:w="807"/>
            <w:vAlign w:val="top"/>
          </w:tcPr>
          <w:p>
            <w:pPr>
              <w:spacing w:after="80" w:before="60" w:line="276" w:lineRule="auto"/>
            </w:pPr>
            <w:r>
              <w:rPr>
                <w:sz w:val="16"/>
              </w:rPr>
              <w:t>NPO</w:t>
            </w:r>
          </w:p>
        </w:tc>
        <w:tc>
          <w:tcPr>
            <w:tcW w:type="dxa" w:w="2359"/>
            <w:vAlign w:val="top"/>
          </w:tcPr>
          <w:p>
            <w:pPr>
              <w:spacing w:after="80" w:before="60" w:line="276" w:lineRule="auto"/>
            </w:pPr>
            <w:r>
              <w:rPr>
                <w:sz w:val="16"/>
              </w:rPr>
              <w:t>光引擎移近主芯片，仍可与芯片封装分离</w:t>
            </w:r>
          </w:p>
        </w:tc>
        <w:tc>
          <w:tcPr>
            <w:tcW w:type="dxa" w:w="2421"/>
            <w:vAlign w:val="top"/>
          </w:tcPr>
          <w:p>
            <w:pPr>
              <w:spacing w:after="80" w:before="60" w:line="276" w:lineRule="auto"/>
            </w:pPr>
            <w:r>
              <w:rPr>
                <w:sz w:val="16"/>
              </w:rPr>
              <w:t>缩短电路径；维护与板级布置改变</w:t>
            </w:r>
          </w:p>
        </w:tc>
        <w:tc>
          <w:tcPr>
            <w:tcW w:type="dxa" w:w="3270"/>
            <w:vAlign w:val="top"/>
          </w:tcPr>
          <w:p>
            <w:pPr>
              <w:spacing w:after="80" w:before="60" w:line="276" w:lineRule="auto"/>
            </w:pPr>
            <w:r>
              <w:rPr>
                <w:sz w:val="16"/>
              </w:rPr>
              <w:t>按厂商产品定义核查，术语边界可能不同</w:t>
            </w:r>
          </w:p>
        </w:tc>
        <w:tc>
          <w:tcPr>
            <w:tcW w:type="dxa" w:w="1035"/>
            <w:vAlign w:val="top"/>
          </w:tcPr>
          <w:p>
            <w:pPr>
              <w:spacing w:after="80" w:before="60" w:line="276" w:lineRule="auto"/>
            </w:pPr>
            <w:hyperlink r:id="rId106">
              <w:r>
                <w:rPr>
                  <w:color w:val="4338CA"/>
                </w:rPr>
                <w:t>[N036]</w:t>
              </w:r>
            </w:hyperlink>
          </w:p>
        </w:tc>
      </w:tr>
      <w:tr>
        <w:trPr>
          <w:cantSplit/>
        </w:trPr>
        <w:tc>
          <w:tcPr>
            <w:tcW w:type="dxa" w:w="807"/>
            <w:vAlign w:val="top"/>
          </w:tcPr>
          <w:p>
            <w:pPr>
              <w:spacing w:after="80" w:before="60" w:line="276" w:lineRule="auto"/>
            </w:pPr>
            <w:r>
              <w:rPr>
                <w:sz w:val="16"/>
              </w:rPr>
              <w:t>CPO</w:t>
            </w:r>
          </w:p>
        </w:tc>
        <w:tc>
          <w:tcPr>
            <w:tcW w:type="dxa" w:w="2359"/>
            <w:vAlign w:val="top"/>
          </w:tcPr>
          <w:p>
            <w:pPr>
              <w:spacing w:after="80" w:before="60" w:line="276" w:lineRule="auto"/>
            </w:pPr>
            <w:r>
              <w:rPr>
                <w:sz w:val="16"/>
              </w:rPr>
              <w:t>光引擎与交换/计算芯片在共同封装系统中靠近</w:t>
            </w:r>
          </w:p>
        </w:tc>
        <w:tc>
          <w:tcPr>
            <w:tcW w:type="dxa" w:w="2421"/>
            <w:vAlign w:val="top"/>
          </w:tcPr>
          <w:p>
            <w:pPr>
              <w:spacing w:after="80" w:before="60" w:line="276" w:lineRule="auto"/>
            </w:pPr>
            <w:r>
              <w:rPr>
                <w:sz w:val="16"/>
              </w:rPr>
              <w:t>缩短高损耗电连接；封装、热、光纤接入和返修更复杂</w:t>
            </w:r>
          </w:p>
        </w:tc>
        <w:tc>
          <w:tcPr>
            <w:tcW w:type="dxa" w:w="3270"/>
            <w:vAlign w:val="top"/>
          </w:tcPr>
          <w:p>
            <w:pPr>
              <w:spacing w:after="80" w:before="60" w:line="276" w:lineRule="auto"/>
            </w:pPr>
            <w:r>
              <w:rPr>
                <w:sz w:val="16"/>
              </w:rPr>
              <w:t>Broadcom有Bailly平台；NVIDIA有Photonics平台发布；客户验收另查</w:t>
            </w:r>
          </w:p>
        </w:tc>
        <w:tc>
          <w:tcPr>
            <w:tcW w:type="dxa" w:w="1035"/>
            <w:vAlign w:val="top"/>
          </w:tcPr>
          <w:p>
            <w:pPr>
              <w:spacing w:after="80" w:before="60" w:line="276" w:lineRule="auto"/>
            </w:pPr>
            <w:hyperlink r:id="rId108">
              <w:r>
                <w:rPr>
                  <w:color w:val="4338CA"/>
                </w:rPr>
                <w:t>[N032]</w:t>
              </w:r>
            </w:hyperlink>
            <w:hyperlink r:id="rId109">
              <w:r>
                <w:rPr>
                  <w:color w:val="4338CA"/>
                </w:rPr>
                <w:t>[N064]</w:t>
              </w:r>
            </w:hyperlink>
          </w:p>
        </w:tc>
      </w:tr>
      <w:tr>
        <w:trPr>
          <w:cantSplit/>
        </w:trPr>
        <w:tc>
          <w:tcPr>
            <w:tcW w:type="dxa" w:w="807"/>
            <w:vAlign w:val="top"/>
          </w:tcPr>
          <w:p>
            <w:pPr>
              <w:spacing w:after="80" w:before="60" w:line="276" w:lineRule="auto"/>
            </w:pPr>
            <w:r>
              <w:rPr>
                <w:sz w:val="16"/>
              </w:rPr>
              <w:t>optical I/O</w:t>
            </w:r>
          </w:p>
        </w:tc>
        <w:tc>
          <w:tcPr>
            <w:tcW w:type="dxa" w:w="2359"/>
            <w:vAlign w:val="top"/>
          </w:tcPr>
          <w:p>
            <w:pPr>
              <w:spacing w:after="80" w:before="60" w:line="276" w:lineRule="auto"/>
            </w:pPr>
            <w:r>
              <w:rPr>
                <w:sz w:val="16"/>
              </w:rPr>
              <w:t>计算芯片封装附近以光IO chiplet接外部连接</w:t>
            </w:r>
          </w:p>
        </w:tc>
        <w:tc>
          <w:tcPr>
            <w:tcW w:type="dxa" w:w="2421"/>
            <w:vAlign w:val="top"/>
          </w:tcPr>
          <w:p>
            <w:pPr>
              <w:spacing w:after="80" w:before="60" w:line="276" w:lineRule="auto"/>
            </w:pPr>
            <w:r>
              <w:rPr>
                <w:sz w:val="16"/>
              </w:rPr>
              <w:t>面向带宽密度/距离/功耗；协议和封装集成是门槛</w:t>
            </w:r>
          </w:p>
        </w:tc>
        <w:tc>
          <w:tcPr>
            <w:tcW w:type="dxa" w:w="3270"/>
            <w:vAlign w:val="top"/>
          </w:tcPr>
          <w:p>
            <w:pPr>
              <w:spacing w:after="80" w:before="60" w:line="276" w:lineRule="auto"/>
            </w:pPr>
            <w:r>
              <w:rPr>
                <w:sz w:val="16"/>
              </w:rPr>
              <w:t>Ayar TeraPHY与SuperNova是组件体系；平台出货需逐项验证</w:t>
            </w:r>
          </w:p>
        </w:tc>
        <w:tc>
          <w:tcPr>
            <w:tcW w:type="dxa" w:w="1035"/>
            <w:vAlign w:val="top"/>
          </w:tcPr>
          <w:p>
            <w:pPr>
              <w:spacing w:after="80" w:before="60" w:line="276" w:lineRule="auto"/>
            </w:pPr>
            <w:hyperlink r:id="rId110">
              <w:r>
                <w:rPr>
                  <w:color w:val="4338CA"/>
                </w:rPr>
                <w:t>[N037]</w:t>
              </w:r>
            </w:hyperlink>
          </w:p>
        </w:tc>
      </w:tr>
    </w:tbl>
    <w:p>
      <w:pPr>
        <w:spacing w:after="0"/>
      </w:pPr>
    </w:p>
    <w:p>
      <w:pPr/>
      <w:r>
        <w:t>CPO 与 LPO 并不构成覆盖所有距离、成本和维护需求的“最终赢家”。应按每条连接的带宽密度、插损预算、功耗、可更换性和故障代价建立决策。CPO 交换机采用情况不能直接推出 GPU 光 I/O 的采用情况。</w:t>
      </w:r>
      <w:hyperlink r:id="rId108">
        <w:r>
          <w:rPr>
            <w:color w:val="4338CA"/>
          </w:rPr>
          <w:t>[N032]</w:t>
        </w:r>
      </w:hyperlink>
      <w:hyperlink r:id="rId105">
        <w:r>
          <w:rPr>
            <w:color w:val="4338CA"/>
          </w:rPr>
          <w:t>[N034]</w:t>
        </w:r>
      </w:hyperlink>
      <w:hyperlink r:id="rId110">
        <w:r>
          <w:rPr>
            <w:color w:val="4338CA"/>
          </w:rPr>
          <w:t>[N037]</w:t>
        </w:r>
      </w:hyperlink>
      <w:r>
        <w:t>（本文推论）</w:t>
      </w:r>
    </w:p>
    <w:p>
      <w:pPr>
        <w:pStyle w:val="Heading2"/>
      </w:pPr>
      <w:r>
        <w:t>光器件与材料蓝图</w:t>
      </w:r>
    </w:p>
    <w:p>
      <w:pPr/>
      <w:r>
        <w:t>以下“关键参数”为本文建立的尽调模板；来源支持材料/功能对应，参数合格与否必须以供应商数据表和客户验收为准。</w:t>
      </w:r>
    </w:p>
    <w:tbl>
      <w:tblPr>
        <w:tblW w:type="auto" w:w="0"/>
        <w:jc w:val="center"/>
        <w:tblLayout w:type="fixed"/>
        <w:tblLook w:firstColumn="1" w:firstRow="1" w:lastColumn="0" w:lastRow="0" w:noHBand="0" w:noVBand="1" w:val="04A0"/>
      </w:tblPr>
      <w:tblGrid>
        <w:gridCol w:w="815"/>
        <w:gridCol w:w="2745"/>
        <w:gridCol w:w="2473"/>
        <w:gridCol w:w="2201"/>
        <w:gridCol w:w="1658"/>
      </w:tblGrid>
      <w:tr>
        <w:trPr>
          <w:tblHeader/>
        </w:trPr>
        <w:tc>
          <w:tcPr>
            <w:tcW w:type="dxa" w:w="815"/>
            <w:vAlign w:val="top"/>
            <w:shd w:fill="E0E7FF"/>
          </w:tcPr>
          <w:p>
            <w:pPr>
              <w:spacing w:after="80" w:before="60" w:line="276" w:lineRule="auto"/>
            </w:pPr>
            <w:r>
              <w:rPr>
                <w:b/>
                <w:sz w:val="16"/>
              </w:rPr>
              <w:t>部件</w:t>
            </w:r>
          </w:p>
        </w:tc>
        <w:tc>
          <w:tcPr>
            <w:tcW w:type="dxa" w:w="2745"/>
            <w:vAlign w:val="top"/>
            <w:shd w:fill="E0E7FF"/>
          </w:tcPr>
          <w:p>
            <w:pPr>
              <w:spacing w:after="80" w:before="60" w:line="276" w:lineRule="auto"/>
            </w:pPr>
            <w:r>
              <w:rPr>
                <w:b/>
                <w:sz w:val="16"/>
              </w:rPr>
              <w:t>材料与功能</w:t>
            </w:r>
          </w:p>
        </w:tc>
        <w:tc>
          <w:tcPr>
            <w:tcW w:type="dxa" w:w="2473"/>
            <w:vAlign w:val="top"/>
            <w:shd w:fill="E0E7FF"/>
          </w:tcPr>
          <w:p>
            <w:pPr>
              <w:spacing w:after="80" w:before="60" w:line="276" w:lineRule="auto"/>
            </w:pPr>
            <w:r>
              <w:rPr>
                <w:b/>
                <w:sz w:val="16"/>
              </w:rPr>
              <w:t>关键参数/问题</w:t>
            </w:r>
          </w:p>
        </w:tc>
        <w:tc>
          <w:tcPr>
            <w:tcW w:type="dxa" w:w="2201"/>
            <w:vAlign w:val="top"/>
            <w:shd w:fill="E0E7FF"/>
          </w:tcPr>
          <w:p>
            <w:pPr>
              <w:spacing w:after="80" w:before="60" w:line="276" w:lineRule="auto"/>
            </w:pPr>
            <w:r>
              <w:rPr>
                <w:b/>
                <w:sz w:val="16"/>
              </w:rPr>
              <w:t>代表能力位置</w:t>
            </w:r>
          </w:p>
        </w:tc>
        <w:tc>
          <w:tcPr>
            <w:tcW w:type="dxa" w:w="1658"/>
            <w:vAlign w:val="top"/>
            <w:shd w:fill="E0E7FF"/>
          </w:tcPr>
          <w:p>
            <w:pPr>
              <w:spacing w:after="80" w:before="60" w:line="276" w:lineRule="auto"/>
            </w:pPr>
            <w:r>
              <w:rPr>
                <w:b/>
                <w:sz w:val="16"/>
              </w:rPr>
              <w:t>证据</w:t>
            </w:r>
          </w:p>
        </w:tc>
      </w:tr>
      <w:tr>
        <w:trPr>
          <w:cantSplit/>
        </w:trPr>
        <w:tc>
          <w:tcPr>
            <w:tcW w:type="dxa" w:w="815"/>
            <w:vAlign w:val="top"/>
          </w:tcPr>
          <w:p>
            <w:pPr>
              <w:spacing w:after="80" w:before="60" w:line="276" w:lineRule="auto"/>
            </w:pPr>
            <w:r>
              <w:rPr>
                <w:sz w:val="16"/>
              </w:rPr>
              <w:t>EML</w:t>
            </w:r>
          </w:p>
        </w:tc>
        <w:tc>
          <w:tcPr>
            <w:tcW w:type="dxa" w:w="2745"/>
            <w:vAlign w:val="top"/>
          </w:tcPr>
          <w:p>
            <w:pPr>
              <w:spacing w:after="80" w:before="60" w:line="276" w:lineRule="auto"/>
            </w:pPr>
            <w:r>
              <w:rPr>
                <w:sz w:val="16"/>
              </w:rPr>
              <w:t>InP平台将DFB激光与电吸收调制器EAM集成</w:t>
            </w:r>
          </w:p>
        </w:tc>
        <w:tc>
          <w:tcPr>
            <w:tcW w:type="dxa" w:w="2473"/>
            <w:vAlign w:val="top"/>
          </w:tcPr>
          <w:p>
            <w:pPr>
              <w:spacing w:after="80" w:before="60" w:line="276" w:lineRule="auto"/>
            </w:pPr>
            <w:r>
              <w:rPr>
                <w:sz w:val="16"/>
              </w:rPr>
              <w:t>速率、消光比、啁啾、输出功率、温度与寿命</w:t>
            </w:r>
          </w:p>
        </w:tc>
        <w:tc>
          <w:tcPr>
            <w:tcW w:type="dxa" w:w="2201"/>
            <w:vAlign w:val="top"/>
          </w:tcPr>
          <w:p>
            <w:pPr>
              <w:spacing w:after="80" w:before="60" w:line="276" w:lineRule="auto"/>
            </w:pPr>
            <w:r>
              <w:rPr>
                <w:sz w:val="16"/>
              </w:rPr>
              <w:t>Lumentum；Coherent</w:t>
            </w:r>
          </w:p>
        </w:tc>
        <w:tc>
          <w:tcPr>
            <w:tcW w:type="dxa" w:w="1658"/>
            <w:vAlign w:val="top"/>
          </w:tcPr>
          <w:p>
            <w:pPr>
              <w:spacing w:after="80" w:before="60" w:line="276" w:lineRule="auto"/>
            </w:pPr>
            <w:hyperlink r:id="rId103">
              <w:r>
                <w:rPr>
                  <w:color w:val="4338CA"/>
                </w:rPr>
                <w:t>[N033]</w:t>
              </w:r>
            </w:hyperlink>
            <w:hyperlink r:id="rId111">
              <w:r>
                <w:rPr>
                  <w:color w:val="4338CA"/>
                </w:rPr>
                <w:t>[N039]</w:t>
              </w:r>
            </w:hyperlink>
          </w:p>
        </w:tc>
      </w:tr>
      <w:tr>
        <w:trPr>
          <w:cantSplit/>
        </w:trPr>
        <w:tc>
          <w:tcPr>
            <w:tcW w:type="dxa" w:w="815"/>
            <w:vAlign w:val="top"/>
          </w:tcPr>
          <w:p>
            <w:pPr>
              <w:spacing w:after="80" w:before="60" w:line="276" w:lineRule="auto"/>
            </w:pPr>
            <w:r>
              <w:rPr>
                <w:sz w:val="16"/>
              </w:rPr>
              <w:t>CW/DFB光源</w:t>
            </w:r>
          </w:p>
        </w:tc>
        <w:tc>
          <w:tcPr>
            <w:tcW w:type="dxa" w:w="2745"/>
            <w:vAlign w:val="top"/>
          </w:tcPr>
          <w:p>
            <w:pPr>
              <w:spacing w:after="80" w:before="60" w:line="276" w:lineRule="auto"/>
            </w:pPr>
            <w:r>
              <w:rPr>
                <w:sz w:val="16"/>
              </w:rPr>
              <w:t>持续出光，供外部硅光调制器使用；可做ELSFP</w:t>
            </w:r>
          </w:p>
        </w:tc>
        <w:tc>
          <w:tcPr>
            <w:tcW w:type="dxa" w:w="2473"/>
            <w:vAlign w:val="top"/>
          </w:tcPr>
          <w:p>
            <w:pPr>
              <w:spacing w:after="80" w:before="60" w:line="276" w:lineRule="auto"/>
            </w:pPr>
            <w:r>
              <w:rPr>
                <w:sz w:val="16"/>
              </w:rPr>
              <w:t>光功率、RIN、效率、波长稳定、失效恢复与激光安全</w:t>
            </w:r>
          </w:p>
        </w:tc>
        <w:tc>
          <w:tcPr>
            <w:tcW w:type="dxa" w:w="2201"/>
            <w:vAlign w:val="top"/>
          </w:tcPr>
          <w:p>
            <w:pPr>
              <w:spacing w:after="80" w:before="60" w:line="276" w:lineRule="auto"/>
            </w:pPr>
            <w:r>
              <w:rPr>
                <w:sz w:val="16"/>
              </w:rPr>
              <w:t>Lumentum；住友电工；古河</w:t>
            </w:r>
          </w:p>
        </w:tc>
        <w:tc>
          <w:tcPr>
            <w:tcW w:type="dxa" w:w="1658"/>
            <w:vAlign w:val="top"/>
          </w:tcPr>
          <w:p>
            <w:pPr>
              <w:spacing w:after="80" w:before="60" w:line="276" w:lineRule="auto"/>
            </w:pPr>
            <w:hyperlink r:id="rId105">
              <w:r>
                <w:rPr>
                  <w:color w:val="4338CA"/>
                </w:rPr>
                <w:t>[N034]</w:t>
              </w:r>
            </w:hyperlink>
            <w:hyperlink r:id="rId80">
              <w:r>
                <w:rPr>
                  <w:color w:val="4338CA"/>
                </w:rPr>
                <w:t>[N050]</w:t>
              </w:r>
            </w:hyperlink>
            <w:hyperlink r:id="rId81">
              <w:r>
                <w:rPr>
                  <w:color w:val="4338CA"/>
                </w:rPr>
                <w:t>[N051]</w:t>
              </w:r>
            </w:hyperlink>
          </w:p>
        </w:tc>
      </w:tr>
      <w:tr>
        <w:trPr>
          <w:cantSplit/>
        </w:trPr>
        <w:tc>
          <w:tcPr>
            <w:tcW w:type="dxa" w:w="815"/>
            <w:vAlign w:val="top"/>
          </w:tcPr>
          <w:p>
            <w:pPr>
              <w:spacing w:after="80" w:before="60" w:line="276" w:lineRule="auto"/>
            </w:pPr>
            <w:r>
              <w:rPr>
                <w:sz w:val="16"/>
              </w:rPr>
              <w:t>VCSEL</w:t>
            </w:r>
          </w:p>
        </w:tc>
        <w:tc>
          <w:tcPr>
            <w:tcW w:type="dxa" w:w="2745"/>
            <w:vAlign w:val="top"/>
          </w:tcPr>
          <w:p>
            <w:pPr>
              <w:spacing w:after="80" w:before="60" w:line="276" w:lineRule="auto"/>
            </w:pPr>
            <w:r>
              <w:rPr>
                <w:sz w:val="16"/>
              </w:rPr>
              <w:t>GaAs平台垂直腔面发射激光，服务多模等短距方案</w:t>
            </w:r>
          </w:p>
        </w:tc>
        <w:tc>
          <w:tcPr>
            <w:tcW w:type="dxa" w:w="2473"/>
            <w:vAlign w:val="top"/>
          </w:tcPr>
          <w:p>
            <w:pPr>
              <w:spacing w:after="80" w:before="60" w:line="276" w:lineRule="auto"/>
            </w:pPr>
            <w:r>
              <w:rPr>
                <w:sz w:val="16"/>
              </w:rPr>
              <w:t>单lane速率、温度、阵列一致性与模态条件</w:t>
            </w:r>
          </w:p>
        </w:tc>
        <w:tc>
          <w:tcPr>
            <w:tcW w:type="dxa" w:w="2201"/>
            <w:vAlign w:val="top"/>
          </w:tcPr>
          <w:p>
            <w:pPr>
              <w:spacing w:after="80" w:before="60" w:line="276" w:lineRule="auto"/>
            </w:pPr>
            <w:r>
              <w:rPr>
                <w:sz w:val="16"/>
              </w:rPr>
              <w:t>Coherent</w:t>
            </w:r>
          </w:p>
        </w:tc>
        <w:tc>
          <w:tcPr>
            <w:tcW w:type="dxa" w:w="1658"/>
            <w:vAlign w:val="top"/>
          </w:tcPr>
          <w:p>
            <w:pPr>
              <w:spacing w:after="80" w:before="60" w:line="276" w:lineRule="auto"/>
            </w:pPr>
            <w:hyperlink r:id="rId111">
              <w:r>
                <w:rPr>
                  <w:color w:val="4338CA"/>
                </w:rPr>
                <w:t>[N039]</w:t>
              </w:r>
            </w:hyperlink>
            <w:hyperlink r:id="rId112">
              <w:r>
                <w:rPr>
                  <w:color w:val="4338CA"/>
                </w:rPr>
                <w:t>[N040]</w:t>
              </w:r>
            </w:hyperlink>
          </w:p>
        </w:tc>
      </w:tr>
      <w:tr>
        <w:trPr>
          <w:cantSplit/>
        </w:trPr>
        <w:tc>
          <w:tcPr>
            <w:tcW w:type="dxa" w:w="815"/>
            <w:vAlign w:val="top"/>
          </w:tcPr>
          <w:p>
            <w:pPr>
              <w:spacing w:after="80" w:before="60" w:line="276" w:lineRule="auto"/>
            </w:pPr>
            <w:r>
              <w:rPr>
                <w:sz w:val="16"/>
              </w:rPr>
              <w:t>硅光PIC</w:t>
            </w:r>
          </w:p>
        </w:tc>
        <w:tc>
          <w:tcPr>
            <w:tcW w:type="dxa" w:w="2745"/>
            <w:vAlign w:val="top"/>
          </w:tcPr>
          <w:p>
            <w:pPr>
              <w:spacing w:after="80" w:before="60" w:line="276" w:lineRule="auto"/>
            </w:pPr>
            <w:r>
              <w:rPr>
                <w:sz w:val="16"/>
              </w:rPr>
              <w:t>波导、调制器、耦合器、探测器、滤波/复用构件集成</w:t>
            </w:r>
          </w:p>
        </w:tc>
        <w:tc>
          <w:tcPr>
            <w:tcW w:type="dxa" w:w="2473"/>
            <w:vAlign w:val="top"/>
          </w:tcPr>
          <w:p>
            <w:pPr>
              <w:spacing w:after="80" w:before="60" w:line="276" w:lineRule="auto"/>
            </w:pPr>
            <w:r>
              <w:rPr>
                <w:sz w:val="16"/>
              </w:rPr>
              <w:t>PDK、插损、串扰、温漂、工艺偏差和封装接口</w:t>
            </w:r>
          </w:p>
        </w:tc>
        <w:tc>
          <w:tcPr>
            <w:tcW w:type="dxa" w:w="2201"/>
            <w:vAlign w:val="top"/>
          </w:tcPr>
          <w:p>
            <w:pPr>
              <w:spacing w:after="80" w:before="60" w:line="276" w:lineRule="auto"/>
            </w:pPr>
            <w:r>
              <w:rPr>
                <w:sz w:val="16"/>
              </w:rPr>
              <w:t>GlobalFoundries等硅光代工平台</w:t>
            </w:r>
          </w:p>
        </w:tc>
        <w:tc>
          <w:tcPr>
            <w:tcW w:type="dxa" w:w="1658"/>
            <w:vAlign w:val="top"/>
          </w:tcPr>
          <w:p>
            <w:pPr>
              <w:spacing w:after="80" w:before="60" w:line="276" w:lineRule="auto"/>
            </w:pPr>
            <w:hyperlink r:id="rId106">
              <w:r>
                <w:rPr>
                  <w:color w:val="4338CA"/>
                </w:rPr>
                <w:t>[N036]</w:t>
              </w:r>
            </w:hyperlink>
          </w:p>
        </w:tc>
      </w:tr>
      <w:tr>
        <w:trPr>
          <w:cantSplit/>
        </w:trPr>
        <w:tc>
          <w:tcPr>
            <w:tcW w:type="dxa" w:w="815"/>
            <w:vAlign w:val="top"/>
          </w:tcPr>
          <w:p>
            <w:pPr>
              <w:spacing w:after="80" w:before="60" w:line="276" w:lineRule="auto"/>
            </w:pPr>
            <w:r>
              <w:rPr>
                <w:sz w:val="16"/>
              </w:rPr>
              <w:t>TIA/驱动/EIC</w:t>
            </w:r>
          </w:p>
        </w:tc>
        <w:tc>
          <w:tcPr>
            <w:tcW w:type="dxa" w:w="2745"/>
            <w:vAlign w:val="top"/>
          </w:tcPr>
          <w:p>
            <w:pPr>
              <w:spacing w:after="80" w:before="60" w:line="276" w:lineRule="auto"/>
            </w:pPr>
            <w:r>
              <w:rPr>
                <w:sz w:val="16"/>
              </w:rPr>
              <w:t>高速模拟与数字电路，把电子数据接到光子器件</w:t>
            </w:r>
          </w:p>
        </w:tc>
        <w:tc>
          <w:tcPr>
            <w:tcW w:type="dxa" w:w="2473"/>
            <w:vAlign w:val="top"/>
          </w:tcPr>
          <w:p>
            <w:pPr>
              <w:spacing w:after="80" w:before="60" w:line="276" w:lineRule="auto"/>
            </w:pPr>
            <w:r>
              <w:rPr>
                <w:sz w:val="16"/>
              </w:rPr>
              <w:t>噪声、带宽、线性度、功耗、接点寄生</w:t>
            </w:r>
          </w:p>
        </w:tc>
        <w:tc>
          <w:tcPr>
            <w:tcW w:type="dxa" w:w="2201"/>
            <w:vAlign w:val="top"/>
          </w:tcPr>
          <w:p>
            <w:pPr>
              <w:spacing w:after="80" w:before="60" w:line="276" w:lineRule="auto"/>
            </w:pPr>
            <w:r>
              <w:rPr>
                <w:sz w:val="16"/>
              </w:rPr>
              <w:t>Semtech；Credo相关DSP/SerDes</w:t>
            </w:r>
          </w:p>
        </w:tc>
        <w:tc>
          <w:tcPr>
            <w:tcW w:type="dxa" w:w="1658"/>
            <w:vAlign w:val="top"/>
          </w:tcPr>
          <w:p>
            <w:pPr>
              <w:spacing w:after="80" w:before="60" w:line="276" w:lineRule="auto"/>
            </w:pPr>
            <w:hyperlink r:id="rId99">
              <w:r>
                <w:rPr>
                  <w:color w:val="4338CA"/>
                </w:rPr>
                <w:t>[N030]</w:t>
              </w:r>
            </w:hyperlink>
            <w:hyperlink r:id="rId107">
              <w:r>
                <w:rPr>
                  <w:color w:val="4338CA"/>
                </w:rPr>
                <w:t>[N029]</w:t>
              </w:r>
            </w:hyperlink>
          </w:p>
        </w:tc>
      </w:tr>
      <w:tr>
        <w:trPr>
          <w:cantSplit/>
        </w:trPr>
        <w:tc>
          <w:tcPr>
            <w:tcW w:type="dxa" w:w="815"/>
            <w:vAlign w:val="top"/>
          </w:tcPr>
          <w:p>
            <w:pPr>
              <w:spacing w:after="80" w:before="60" w:line="276" w:lineRule="auto"/>
            </w:pPr>
            <w:r>
              <w:rPr>
                <w:sz w:val="16"/>
              </w:rPr>
              <w:t>探测器</w:t>
            </w:r>
          </w:p>
        </w:tc>
        <w:tc>
          <w:tcPr>
            <w:tcW w:type="dxa" w:w="2745"/>
            <w:vAlign w:val="top"/>
          </w:tcPr>
          <w:p>
            <w:pPr>
              <w:spacing w:after="80" w:before="60" w:line="276" w:lineRule="auto"/>
            </w:pPr>
            <w:r>
              <w:rPr>
                <w:sz w:val="16"/>
              </w:rPr>
              <w:t>将光变为电流，须与TIA/带宽协同</w:t>
            </w:r>
          </w:p>
        </w:tc>
        <w:tc>
          <w:tcPr>
            <w:tcW w:type="dxa" w:w="2473"/>
            <w:vAlign w:val="top"/>
          </w:tcPr>
          <w:p>
            <w:pPr>
              <w:spacing w:after="80" w:before="60" w:line="276" w:lineRule="auto"/>
            </w:pPr>
            <w:r>
              <w:rPr>
                <w:sz w:val="16"/>
              </w:rPr>
              <w:t>响应度、暗电流、带宽、饱和、温度</w:t>
            </w:r>
          </w:p>
        </w:tc>
        <w:tc>
          <w:tcPr>
            <w:tcW w:type="dxa" w:w="2201"/>
            <w:vAlign w:val="top"/>
          </w:tcPr>
          <w:p>
            <w:pPr>
              <w:spacing w:after="80" w:before="60" w:line="276" w:lineRule="auto"/>
            </w:pPr>
            <w:r>
              <w:rPr>
                <w:sz w:val="16"/>
              </w:rPr>
              <w:t>Coherent InP探测器产品</w:t>
            </w:r>
          </w:p>
        </w:tc>
        <w:tc>
          <w:tcPr>
            <w:tcW w:type="dxa" w:w="1658"/>
            <w:vAlign w:val="top"/>
          </w:tcPr>
          <w:p>
            <w:pPr>
              <w:spacing w:after="80" w:before="60" w:line="276" w:lineRule="auto"/>
            </w:pPr>
            <w:hyperlink r:id="rId104">
              <w:r>
                <w:rPr>
                  <w:color w:val="4338CA"/>
                </w:rPr>
                <w:t>[N087]</w:t>
              </w:r>
            </w:hyperlink>
          </w:p>
        </w:tc>
      </w:tr>
      <w:tr>
        <w:trPr>
          <w:cantSplit/>
        </w:trPr>
        <w:tc>
          <w:tcPr>
            <w:tcW w:type="dxa" w:w="815"/>
            <w:vAlign w:val="top"/>
          </w:tcPr>
          <w:p>
            <w:pPr>
              <w:spacing w:after="80" w:before="60" w:line="276" w:lineRule="auto"/>
            </w:pPr>
            <w:r>
              <w:rPr>
                <w:sz w:val="16"/>
              </w:rPr>
              <w:t>WDM与滤波</w:t>
            </w:r>
          </w:p>
        </w:tc>
        <w:tc>
          <w:tcPr>
            <w:tcW w:type="dxa" w:w="2745"/>
            <w:vAlign w:val="top"/>
          </w:tcPr>
          <w:p>
            <w:pPr>
              <w:spacing w:after="80" w:before="60" w:line="276" w:lineRule="auto"/>
            </w:pPr>
            <w:r>
              <w:rPr>
                <w:sz w:val="16"/>
              </w:rPr>
              <w:t>多波长共用光路，复用/解复用；实现依平台</w:t>
            </w:r>
          </w:p>
        </w:tc>
        <w:tc>
          <w:tcPr>
            <w:tcW w:type="dxa" w:w="2473"/>
            <w:vAlign w:val="top"/>
          </w:tcPr>
          <w:p>
            <w:pPr>
              <w:spacing w:after="80" w:before="60" w:line="276" w:lineRule="auto"/>
            </w:pPr>
            <w:r>
              <w:rPr>
                <w:sz w:val="16"/>
              </w:rPr>
              <w:t>通道间隔、插损、隔离度、温漂和锁定</w:t>
            </w:r>
          </w:p>
        </w:tc>
        <w:tc>
          <w:tcPr>
            <w:tcW w:type="dxa" w:w="2201"/>
            <w:vAlign w:val="top"/>
          </w:tcPr>
          <w:p>
            <w:pPr>
              <w:spacing w:after="80" w:before="60" w:line="276" w:lineRule="auto"/>
            </w:pPr>
            <w:r>
              <w:rPr>
                <w:sz w:val="16"/>
              </w:rPr>
              <w:t>GF平台、Ayar多波长光源体系</w:t>
            </w:r>
          </w:p>
        </w:tc>
        <w:tc>
          <w:tcPr>
            <w:tcW w:type="dxa" w:w="1658"/>
            <w:vAlign w:val="top"/>
          </w:tcPr>
          <w:p>
            <w:pPr>
              <w:spacing w:after="80" w:before="60" w:line="276" w:lineRule="auto"/>
            </w:pPr>
            <w:hyperlink r:id="rId106">
              <w:r>
                <w:rPr>
                  <w:color w:val="4338CA"/>
                </w:rPr>
                <w:t>[N036]</w:t>
              </w:r>
            </w:hyperlink>
            <w:hyperlink r:id="rId110">
              <w:r>
                <w:rPr>
                  <w:color w:val="4338CA"/>
                </w:rPr>
                <w:t>[N037]</w:t>
              </w:r>
            </w:hyperlink>
          </w:p>
        </w:tc>
      </w:tr>
      <w:tr>
        <w:trPr>
          <w:cantSplit/>
        </w:trPr>
        <w:tc>
          <w:tcPr>
            <w:tcW w:type="dxa" w:w="815"/>
            <w:vAlign w:val="top"/>
          </w:tcPr>
          <w:p>
            <w:pPr>
              <w:spacing w:after="80" w:before="60" w:line="276" w:lineRule="auto"/>
            </w:pPr>
            <w:r>
              <w:rPr>
                <w:sz w:val="16"/>
              </w:rPr>
              <w:t>光纤/带缆</w:t>
            </w:r>
          </w:p>
        </w:tc>
        <w:tc>
          <w:tcPr>
            <w:tcW w:type="dxa" w:w="2745"/>
            <w:vAlign w:val="top"/>
          </w:tcPr>
          <w:p>
            <w:pPr>
              <w:spacing w:after="80" w:before="60" w:line="276" w:lineRule="auto"/>
            </w:pPr>
            <w:r>
              <w:rPr>
                <w:sz w:val="16"/>
              </w:rPr>
              <w:t>玻璃光波导、涂覆与护套、带状/高密度结构</w:t>
            </w:r>
          </w:p>
        </w:tc>
        <w:tc>
          <w:tcPr>
            <w:tcW w:type="dxa" w:w="2473"/>
            <w:vAlign w:val="top"/>
          </w:tcPr>
          <w:p>
            <w:pPr>
              <w:spacing w:after="80" w:before="60" w:line="276" w:lineRule="auto"/>
            </w:pPr>
            <w:r>
              <w:rPr>
                <w:sz w:val="16"/>
              </w:rPr>
              <w:t>单/多模、衰减、弯曲、密度、阻燃与施工</w:t>
            </w:r>
          </w:p>
        </w:tc>
        <w:tc>
          <w:tcPr>
            <w:tcW w:type="dxa" w:w="2201"/>
            <w:vAlign w:val="top"/>
          </w:tcPr>
          <w:p>
            <w:pPr>
              <w:spacing w:after="80" w:before="60" w:line="276" w:lineRule="auto"/>
            </w:pPr>
            <w:r>
              <w:rPr>
                <w:sz w:val="16"/>
              </w:rPr>
              <w:t>Corning；住友；古河；Prysmian</w:t>
            </w:r>
          </w:p>
        </w:tc>
        <w:tc>
          <w:tcPr>
            <w:tcW w:type="dxa" w:w="1658"/>
            <w:vAlign w:val="top"/>
          </w:tcPr>
          <w:p>
            <w:pPr>
              <w:spacing w:after="80" w:before="60" w:line="276" w:lineRule="auto"/>
            </w:pPr>
            <w:hyperlink r:id="rId79">
              <w:r>
                <w:rPr>
                  <w:color w:val="4338CA"/>
                </w:rPr>
                <w:t>[N045]</w:t>
              </w:r>
            </w:hyperlink>
            <w:hyperlink r:id="rId80">
              <w:r>
                <w:rPr>
                  <w:color w:val="4338CA"/>
                </w:rPr>
                <w:t>[N050]</w:t>
              </w:r>
            </w:hyperlink>
            <w:hyperlink r:id="rId81">
              <w:r>
                <w:rPr>
                  <w:color w:val="4338CA"/>
                </w:rPr>
                <w:t>[N051]</w:t>
              </w:r>
            </w:hyperlink>
            <w:hyperlink r:id="rId65">
              <w:r>
                <w:rPr>
                  <w:color w:val="4338CA"/>
                </w:rPr>
                <w:t>[N060]</w:t>
              </w:r>
            </w:hyperlink>
          </w:p>
        </w:tc>
      </w:tr>
      <w:tr>
        <w:trPr>
          <w:cantSplit/>
        </w:trPr>
        <w:tc>
          <w:tcPr>
            <w:tcW w:type="dxa" w:w="815"/>
            <w:vAlign w:val="top"/>
          </w:tcPr>
          <w:p>
            <w:pPr>
              <w:spacing w:after="80" w:before="60" w:line="276" w:lineRule="auto"/>
            </w:pPr>
            <w:r>
              <w:rPr>
                <w:sz w:val="16"/>
              </w:rPr>
              <w:t>插芯/连接器</w:t>
            </w:r>
          </w:p>
        </w:tc>
        <w:tc>
          <w:tcPr>
            <w:tcW w:type="dxa" w:w="2745"/>
            <w:vAlign w:val="top"/>
          </w:tcPr>
          <w:p>
            <w:pPr>
              <w:spacing w:after="80" w:before="60" w:line="276" w:lineRule="auto"/>
            </w:pPr>
            <w:r>
              <w:rPr>
                <w:sz w:val="16"/>
              </w:rPr>
              <w:t>MT/MPO等多纤接口或LC类接口；精密对中和端面</w:t>
            </w:r>
          </w:p>
        </w:tc>
        <w:tc>
          <w:tcPr>
            <w:tcW w:type="dxa" w:w="2473"/>
            <w:vAlign w:val="top"/>
          </w:tcPr>
          <w:p>
            <w:pPr>
              <w:spacing w:after="80" w:before="60" w:line="276" w:lineRule="auto"/>
            </w:pPr>
            <w:r>
              <w:rPr>
                <w:sz w:val="16"/>
              </w:rPr>
              <w:t>插损、回损、端面清洁、极性、重复插拔</w:t>
            </w:r>
          </w:p>
        </w:tc>
        <w:tc>
          <w:tcPr>
            <w:tcW w:type="dxa" w:w="2201"/>
            <w:vAlign w:val="top"/>
          </w:tcPr>
          <w:p>
            <w:pPr>
              <w:spacing w:after="80" w:before="60" w:line="276" w:lineRule="auto"/>
            </w:pPr>
            <w:r>
              <w:rPr>
                <w:sz w:val="16"/>
              </w:rPr>
              <w:t>Corning；古河；住友</w:t>
            </w:r>
          </w:p>
        </w:tc>
        <w:tc>
          <w:tcPr>
            <w:tcW w:type="dxa" w:w="1658"/>
            <w:vAlign w:val="top"/>
          </w:tcPr>
          <w:p>
            <w:pPr>
              <w:spacing w:after="80" w:before="60" w:line="276" w:lineRule="auto"/>
            </w:pPr>
            <w:hyperlink r:id="rId79">
              <w:r>
                <w:rPr>
                  <w:color w:val="4338CA"/>
                </w:rPr>
                <w:t>[N045]</w:t>
              </w:r>
            </w:hyperlink>
            <w:hyperlink r:id="rId80">
              <w:r>
                <w:rPr>
                  <w:color w:val="4338CA"/>
                </w:rPr>
                <w:t>[N050]</w:t>
              </w:r>
            </w:hyperlink>
            <w:hyperlink r:id="rId81">
              <w:r>
                <w:rPr>
                  <w:color w:val="4338CA"/>
                </w:rPr>
                <w:t>[N051]</w:t>
              </w:r>
            </w:hyperlink>
          </w:p>
        </w:tc>
      </w:tr>
    </w:tbl>
    <w:p>
      <w:pPr>
        <w:spacing w:after="0"/>
      </w:pPr>
    </w:p>
    <w:p>
      <w:pPr/>
      <w:r>
        <w:rPr>
          <w:b/>
        </w:rPr>
        <w:t>隔离与波导的区别：</w:t>
      </w:r>
      <w:r>
        <w:t xml:space="preserve"> 半导体电路的介电绝缘、光波导的折射率约束、激光前的光隔离器是三个问题。“光隔离器”抑制反向光反馈，不是层间电绝缘材料；WDM 的通道隔离度也不是介电击穿强度。采购/研究时应先问要隔离电流、热、光反馈还是相邻波长，才能对应正确组件。</w:t>
      </w:r>
      <w:hyperlink r:id="rId113">
        <w:r>
          <w:rPr>
            <w:color w:val="4338CA"/>
          </w:rPr>
          <w:t>[N085]</w:t>
        </w:r>
      </w:hyperlink>
      <w:hyperlink r:id="rId114">
        <w:r>
          <w:rPr>
            <w:color w:val="4338CA"/>
          </w:rPr>
          <w:t>[N066]</w:t>
        </w:r>
      </w:hyperlink>
      <w:r>
        <w:t>（本文概念拆分）</w:t>
      </w:r>
    </w:p>
    <w:p>
      <w:pPr/>
      <w:r>
        <w:t>硅光平台还应继续向下拆材料：Si/SiN 波导负责导光，Ge PIN/APD 可负责探测，金属后端承担电连接；Soitec 的 Photonics-SOI 是工程衬底位置，并非完整光模块。材料名称相同，不等于采用同一工艺、同一厚度或同一光学性能。</w:t>
      </w:r>
      <w:hyperlink r:id="rId114">
        <w:r>
          <w:rPr>
            <w:color w:val="4338CA"/>
          </w:rPr>
          <w:t>[N066]</w:t>
        </w:r>
      </w:hyperlink>
      <w:hyperlink r:id="rId115">
        <w:r>
          <w:rPr>
            <w:color w:val="4338CA"/>
          </w:rPr>
          <w:t>[N068]</w:t>
        </w:r>
      </w:hyperlink>
    </w:p>
    <w:p>
      <w:pPr/>
      <w:r>
        <w:t>SiN 的低损耗工艺可以涉及 LPCVD，重点在薄膜质量、应力和后续集成；薄膜铌酸锂等异质调制材料则可能通过转印与硅光组合。imec 的相关结果属于平台/研究演示，不能据此断言全部1.6T模块将转向某一种材料。</w:t>
      </w:r>
      <w:hyperlink r:id="rId116">
        <w:r>
          <w:rPr>
            <w:color w:val="4338CA"/>
          </w:rPr>
          <w:t>[N067]</w:t>
        </w:r>
      </w:hyperlink>
      <w:hyperlink r:id="rId117">
        <w:r>
          <w:rPr>
            <w:color w:val="4338CA"/>
          </w:rPr>
          <w:t>[N086]</w:t>
        </w:r>
      </w:hyperlink>
    </w:p>
    <w:p>
      <w:pPr/>
      <w:r>
        <w:t>无源光器件也有独立材料链：例如 Coherent 数据表列出铋掺杂稀土铁石榴石作为磁光旋转材料，用于隔离器等非互易器件。这是晶体生长、膜层、镀膜、组装与测量的问题，不能以逻辑芯片制程纳米数衡量。</w:t>
      </w:r>
      <w:hyperlink r:id="rId118">
        <w:r>
          <w:rPr>
            <w:color w:val="4338CA"/>
          </w:rPr>
          <w:t>[N069]</w:t>
        </w:r>
      </w:hyperlink>
    </w:p>
    <w:p>
      <w:pPr>
        <w:pStyle w:val="Heading2"/>
      </w:pPr>
      <w:r>
        <w:t>制造这套器件需要什么</w:t>
      </w:r>
    </w:p>
    <w:tbl>
      <w:tblPr>
        <w:tblW w:type="auto" w:w="0"/>
        <w:jc w:val="center"/>
        <w:tblLayout w:type="fixed"/>
        <w:tblLook w:firstColumn="1" w:firstRow="1" w:lastColumn="0" w:lastRow="0" w:noHBand="0" w:noVBand="1" w:val="04A0"/>
      </w:tblPr>
      <w:tblGrid>
        <w:gridCol w:w="863"/>
        <w:gridCol w:w="2007"/>
        <w:gridCol w:w="2728"/>
        <w:gridCol w:w="2781"/>
        <w:gridCol w:w="1514"/>
      </w:tblGrid>
      <w:tr>
        <w:trPr>
          <w:tblHeader/>
        </w:trPr>
        <w:tc>
          <w:tcPr>
            <w:tcW w:type="dxa" w:w="863"/>
            <w:vAlign w:val="top"/>
            <w:shd w:fill="E0E7FF"/>
          </w:tcPr>
          <w:p>
            <w:pPr>
              <w:spacing w:after="80" w:before="60" w:line="276" w:lineRule="auto"/>
            </w:pPr>
            <w:r>
              <w:rPr>
                <w:b/>
                <w:sz w:val="16"/>
              </w:rPr>
              <w:t>工序</w:t>
            </w:r>
          </w:p>
        </w:tc>
        <w:tc>
          <w:tcPr>
            <w:tcW w:type="dxa" w:w="2007"/>
            <w:vAlign w:val="top"/>
            <w:shd w:fill="E0E7FF"/>
          </w:tcPr>
          <w:p>
            <w:pPr>
              <w:spacing w:after="80" w:before="60" w:line="276" w:lineRule="auto"/>
            </w:pPr>
            <w:r>
              <w:rPr>
                <w:b/>
                <w:sz w:val="16"/>
              </w:rPr>
              <w:t>为什么需要</w:t>
            </w:r>
          </w:p>
        </w:tc>
        <w:tc>
          <w:tcPr>
            <w:tcW w:type="dxa" w:w="2728"/>
            <w:vAlign w:val="top"/>
            <w:shd w:fill="E0E7FF"/>
          </w:tcPr>
          <w:p>
            <w:pPr>
              <w:spacing w:after="80" w:before="60" w:line="276" w:lineRule="auto"/>
            </w:pPr>
            <w:r>
              <w:rPr>
                <w:b/>
                <w:sz w:val="16"/>
              </w:rPr>
              <w:t>设备/工艺范畴</w:t>
            </w:r>
          </w:p>
        </w:tc>
        <w:tc>
          <w:tcPr>
            <w:tcW w:type="dxa" w:w="2781"/>
            <w:vAlign w:val="top"/>
            <w:shd w:fill="E0E7FF"/>
          </w:tcPr>
          <w:p>
            <w:pPr>
              <w:spacing w:after="80" w:before="60" w:line="276" w:lineRule="auto"/>
            </w:pPr>
            <w:r>
              <w:rPr>
                <w:b/>
                <w:sz w:val="16"/>
              </w:rPr>
              <w:t>怎样识别真实壁垒</w:t>
            </w:r>
          </w:p>
        </w:tc>
        <w:tc>
          <w:tcPr>
            <w:tcW w:type="dxa" w:w="1514"/>
            <w:vAlign w:val="top"/>
            <w:shd w:fill="E0E7FF"/>
          </w:tcPr>
          <w:p>
            <w:pPr>
              <w:spacing w:after="80" w:before="60" w:line="276" w:lineRule="auto"/>
            </w:pPr>
            <w:r>
              <w:rPr>
                <w:b/>
                <w:sz w:val="16"/>
              </w:rPr>
              <w:t>证据</w:t>
            </w:r>
          </w:p>
        </w:tc>
      </w:tr>
      <w:tr>
        <w:trPr>
          <w:cantSplit/>
        </w:trPr>
        <w:tc>
          <w:tcPr>
            <w:tcW w:type="dxa" w:w="863"/>
            <w:vAlign w:val="top"/>
          </w:tcPr>
          <w:p>
            <w:pPr>
              <w:spacing w:after="80" w:before="60" w:line="276" w:lineRule="auto"/>
            </w:pPr>
            <w:r>
              <w:rPr>
                <w:sz w:val="16"/>
              </w:rPr>
              <w:t>化合物材料外延</w:t>
            </w:r>
          </w:p>
        </w:tc>
        <w:tc>
          <w:tcPr>
            <w:tcW w:type="dxa" w:w="2007"/>
            <w:vAlign w:val="top"/>
          </w:tcPr>
          <w:p>
            <w:pPr>
              <w:spacing w:after="80" w:before="60" w:line="276" w:lineRule="auto"/>
            </w:pPr>
            <w:r>
              <w:rPr>
                <w:sz w:val="16"/>
              </w:rPr>
              <w:t>为InP/GaAs激光建立受控薄层结构</w:t>
            </w:r>
          </w:p>
        </w:tc>
        <w:tc>
          <w:tcPr>
            <w:tcW w:type="dxa" w:w="2728"/>
            <w:vAlign w:val="top"/>
          </w:tcPr>
          <w:p>
            <w:pPr>
              <w:spacing w:after="80" w:before="60" w:line="276" w:lineRule="auto"/>
            </w:pPr>
            <w:r>
              <w:rPr>
                <w:sz w:val="16"/>
              </w:rPr>
              <w:t>MOCVD等外延；AIXTRON有GaAs/InP设备</w:t>
            </w:r>
          </w:p>
        </w:tc>
        <w:tc>
          <w:tcPr>
            <w:tcW w:type="dxa" w:w="2781"/>
            <w:vAlign w:val="top"/>
          </w:tcPr>
          <w:p>
            <w:pPr>
              <w:spacing w:after="80" w:before="60" w:line="276" w:lineRule="auto"/>
            </w:pPr>
            <w:r>
              <w:rPr>
                <w:sz w:val="16"/>
              </w:rPr>
              <w:t>厚度/组分均匀性、缺陷、重复性、吞吐与维护</w:t>
            </w:r>
          </w:p>
        </w:tc>
        <w:tc>
          <w:tcPr>
            <w:tcW w:type="dxa" w:w="1514"/>
            <w:vAlign w:val="top"/>
          </w:tcPr>
          <w:p>
            <w:pPr>
              <w:spacing w:after="80" w:before="60" w:line="276" w:lineRule="auto"/>
            </w:pPr>
            <w:hyperlink r:id="rId119">
              <w:r>
                <w:rPr>
                  <w:color w:val="4338CA"/>
                </w:rPr>
                <w:t>[N041]</w:t>
              </w:r>
            </w:hyperlink>
            <w:hyperlink r:id="rId111">
              <w:r>
                <w:rPr>
                  <w:color w:val="4338CA"/>
                </w:rPr>
                <w:t>[N039]</w:t>
              </w:r>
            </w:hyperlink>
          </w:p>
        </w:tc>
      </w:tr>
      <w:tr>
        <w:trPr>
          <w:cantSplit/>
        </w:trPr>
        <w:tc>
          <w:tcPr>
            <w:tcW w:type="dxa" w:w="863"/>
            <w:vAlign w:val="top"/>
          </w:tcPr>
          <w:p>
            <w:pPr>
              <w:spacing w:after="80" w:before="60" w:line="276" w:lineRule="auto"/>
            </w:pPr>
            <w:r>
              <w:rPr>
                <w:sz w:val="16"/>
              </w:rPr>
              <w:t>器件晶圆加工</w:t>
            </w:r>
          </w:p>
        </w:tc>
        <w:tc>
          <w:tcPr>
            <w:tcW w:type="dxa" w:w="2007"/>
            <w:vAlign w:val="top"/>
          </w:tcPr>
          <w:p>
            <w:pPr>
              <w:spacing w:after="80" w:before="60" w:line="276" w:lineRule="auto"/>
            </w:pPr>
            <w:r>
              <w:rPr>
                <w:sz w:val="16"/>
              </w:rPr>
              <w:t>将外延/硅光平台形成有源/无源器件</w:t>
            </w:r>
          </w:p>
        </w:tc>
        <w:tc>
          <w:tcPr>
            <w:tcW w:type="dxa" w:w="2728"/>
            <w:vAlign w:val="top"/>
          </w:tcPr>
          <w:p>
            <w:pPr>
              <w:spacing w:after="80" w:before="60" w:line="276" w:lineRule="auto"/>
            </w:pPr>
            <w:r>
              <w:rPr>
                <w:sz w:val="16"/>
              </w:rPr>
              <w:t>光刻、刻蚀、薄膜、掺杂、金属化；具体流程依PDK</w:t>
            </w:r>
          </w:p>
        </w:tc>
        <w:tc>
          <w:tcPr>
            <w:tcW w:type="dxa" w:w="2781"/>
            <w:vAlign w:val="top"/>
          </w:tcPr>
          <w:p>
            <w:pPr>
              <w:spacing w:after="80" w:before="60" w:line="276" w:lineRule="auto"/>
            </w:pPr>
            <w:r>
              <w:rPr>
                <w:sz w:val="16"/>
              </w:rPr>
              <w:t>光学性能与电学良率同时达标，不能只比最小线宽</w:t>
            </w:r>
          </w:p>
        </w:tc>
        <w:tc>
          <w:tcPr>
            <w:tcW w:type="dxa" w:w="1514"/>
            <w:vAlign w:val="top"/>
          </w:tcPr>
          <w:p>
            <w:pPr>
              <w:spacing w:after="80" w:before="60" w:line="276" w:lineRule="auto"/>
            </w:pPr>
            <w:hyperlink r:id="rId106">
              <w:r>
                <w:rPr>
                  <w:color w:val="4338CA"/>
                </w:rPr>
                <w:t>[N036]</w:t>
              </w:r>
            </w:hyperlink>
            <w:hyperlink r:id="rId103">
              <w:r>
                <w:rPr>
                  <w:color w:val="4338CA"/>
                </w:rPr>
                <w:t>[N033]</w:t>
              </w:r>
            </w:hyperlink>
          </w:p>
        </w:tc>
      </w:tr>
      <w:tr>
        <w:trPr>
          <w:cantSplit/>
        </w:trPr>
        <w:tc>
          <w:tcPr>
            <w:tcW w:type="dxa" w:w="863"/>
            <w:vAlign w:val="top"/>
          </w:tcPr>
          <w:p>
            <w:pPr>
              <w:spacing w:after="80" w:before="60" w:line="276" w:lineRule="auto"/>
            </w:pPr>
            <w:r>
              <w:rPr>
                <w:sz w:val="16"/>
              </w:rPr>
              <w:t>晶圆级光电测试</w:t>
            </w:r>
          </w:p>
        </w:tc>
        <w:tc>
          <w:tcPr>
            <w:tcW w:type="dxa" w:w="2007"/>
            <w:vAlign w:val="top"/>
          </w:tcPr>
          <w:p>
            <w:pPr>
              <w:spacing w:after="80" w:before="60" w:line="276" w:lineRule="auto"/>
            </w:pPr>
            <w:r>
              <w:rPr>
                <w:sz w:val="16"/>
              </w:rPr>
              <w:t>在昂贵封装前剔除问题die、建立分档</w:t>
            </w:r>
          </w:p>
        </w:tc>
        <w:tc>
          <w:tcPr>
            <w:tcW w:type="dxa" w:w="2728"/>
            <w:vAlign w:val="top"/>
          </w:tcPr>
          <w:p>
            <w:pPr>
              <w:spacing w:after="80" w:before="60" w:line="276" w:lineRule="auto"/>
            </w:pPr>
            <w:r>
              <w:rPr>
                <w:sz w:val="16"/>
              </w:rPr>
              <w:t>自动探针、激光源、功率/波长/电学测试与校准</w:t>
            </w:r>
          </w:p>
        </w:tc>
        <w:tc>
          <w:tcPr>
            <w:tcW w:type="dxa" w:w="2781"/>
            <w:vAlign w:val="top"/>
          </w:tcPr>
          <w:p>
            <w:pPr>
              <w:spacing w:after="80" w:before="60" w:line="276" w:lineRule="auto"/>
            </w:pPr>
            <w:r>
              <w:rPr>
                <w:sz w:val="16"/>
              </w:rPr>
              <w:t>接触/耦合重复性、校准、测试覆盖、每die时间</w:t>
            </w:r>
          </w:p>
        </w:tc>
        <w:tc>
          <w:tcPr>
            <w:tcW w:type="dxa" w:w="1514"/>
            <w:vAlign w:val="top"/>
          </w:tcPr>
          <w:p>
            <w:pPr>
              <w:spacing w:after="80" w:before="60" w:line="276" w:lineRule="auto"/>
            </w:pPr>
            <w:hyperlink r:id="rId120">
              <w:r>
                <w:rPr>
                  <w:color w:val="4338CA"/>
                </w:rPr>
                <w:t>[N044]</w:t>
              </w:r>
            </w:hyperlink>
          </w:p>
        </w:tc>
      </w:tr>
      <w:tr>
        <w:trPr>
          <w:cantSplit/>
        </w:trPr>
        <w:tc>
          <w:tcPr>
            <w:tcW w:type="dxa" w:w="863"/>
            <w:vAlign w:val="top"/>
          </w:tcPr>
          <w:p>
            <w:pPr>
              <w:spacing w:after="80" w:before="60" w:line="276" w:lineRule="auto"/>
            </w:pPr>
            <w:r>
              <w:rPr>
                <w:sz w:val="16"/>
              </w:rPr>
              <w:t>切割/贴片/互连</w:t>
            </w:r>
          </w:p>
        </w:tc>
        <w:tc>
          <w:tcPr>
            <w:tcW w:type="dxa" w:w="2007"/>
            <w:vAlign w:val="top"/>
          </w:tcPr>
          <w:p>
            <w:pPr>
              <w:spacing w:after="80" w:before="60" w:line="276" w:lineRule="auto"/>
            </w:pPr>
            <w:r>
              <w:rPr>
                <w:sz w:val="16"/>
              </w:rPr>
              <w:t>PIC、EIC、激光、基板组合</w:t>
            </w:r>
          </w:p>
        </w:tc>
        <w:tc>
          <w:tcPr>
            <w:tcW w:type="dxa" w:w="2728"/>
            <w:vAlign w:val="top"/>
          </w:tcPr>
          <w:p>
            <w:pPr>
              <w:spacing w:after="80" w:before="60" w:line="276" w:lineRule="auto"/>
            </w:pPr>
            <w:r>
              <w:rPr>
                <w:sz w:val="16"/>
              </w:rPr>
              <w:t>精密贴装、焊接、胶合与封装</w:t>
            </w:r>
          </w:p>
        </w:tc>
        <w:tc>
          <w:tcPr>
            <w:tcW w:type="dxa" w:w="2781"/>
            <w:vAlign w:val="top"/>
          </w:tcPr>
          <w:p>
            <w:pPr>
              <w:spacing w:after="80" w:before="60" w:line="276" w:lineRule="auto"/>
            </w:pPr>
            <w:r>
              <w:rPr>
                <w:sz w:val="16"/>
              </w:rPr>
              <w:t>热预算、机械应力、寄生、known-good-die管理</w:t>
            </w:r>
          </w:p>
        </w:tc>
        <w:tc>
          <w:tcPr>
            <w:tcW w:type="dxa" w:w="1514"/>
            <w:vAlign w:val="top"/>
          </w:tcPr>
          <w:p>
            <w:pPr>
              <w:spacing w:after="80" w:before="60" w:line="276" w:lineRule="auto"/>
            </w:pPr>
            <w:hyperlink r:id="rId106">
              <w:r>
                <w:rPr>
                  <w:color w:val="4338CA"/>
                </w:rPr>
                <w:t>[N036]</w:t>
              </w:r>
            </w:hyperlink>
            <w:hyperlink r:id="rId121">
              <w:r>
                <w:rPr>
                  <w:color w:val="4338CA"/>
                </w:rPr>
                <w:t>[N042]</w:t>
              </w:r>
            </w:hyperlink>
          </w:p>
        </w:tc>
      </w:tr>
      <w:tr>
        <w:trPr>
          <w:cantSplit/>
        </w:trPr>
        <w:tc>
          <w:tcPr>
            <w:tcW w:type="dxa" w:w="863"/>
            <w:vAlign w:val="top"/>
          </w:tcPr>
          <w:p>
            <w:pPr>
              <w:spacing w:after="80" w:before="60" w:line="276" w:lineRule="auto"/>
            </w:pPr>
            <w:r>
              <w:rPr>
                <w:sz w:val="16"/>
              </w:rPr>
              <w:t>光纤耦合与对准</w:t>
            </w:r>
          </w:p>
        </w:tc>
        <w:tc>
          <w:tcPr>
            <w:tcW w:type="dxa" w:w="2007"/>
            <w:vAlign w:val="top"/>
          </w:tcPr>
          <w:p>
            <w:pPr>
              <w:spacing w:after="80" w:before="60" w:line="276" w:lineRule="auto"/>
            </w:pPr>
            <w:r>
              <w:rPr>
                <w:sz w:val="16"/>
              </w:rPr>
              <w:t>把光高效送入/取出细小波导</w:t>
            </w:r>
          </w:p>
        </w:tc>
        <w:tc>
          <w:tcPr>
            <w:tcW w:type="dxa" w:w="2728"/>
            <w:vAlign w:val="top"/>
          </w:tcPr>
          <w:p>
            <w:pPr>
              <w:spacing w:after="80" w:before="60" w:line="276" w:lineRule="auto"/>
            </w:pPr>
            <w:r>
              <w:rPr>
                <w:sz w:val="16"/>
              </w:rPr>
              <w:t>多轴主动/被动对准、透镜/阵列、UV胶或焊接固定</w:t>
            </w:r>
          </w:p>
        </w:tc>
        <w:tc>
          <w:tcPr>
            <w:tcW w:type="dxa" w:w="2781"/>
            <w:vAlign w:val="top"/>
          </w:tcPr>
          <w:p>
            <w:pPr>
              <w:spacing w:after="80" w:before="60" w:line="276" w:lineRule="auto"/>
            </w:pPr>
            <w:r>
              <w:rPr>
                <w:sz w:val="16"/>
              </w:rPr>
              <w:t>多通道最优点、固化漂移、节拍、长期稳定</w:t>
            </w:r>
          </w:p>
        </w:tc>
        <w:tc>
          <w:tcPr>
            <w:tcW w:type="dxa" w:w="1514"/>
            <w:vAlign w:val="top"/>
          </w:tcPr>
          <w:p>
            <w:pPr>
              <w:spacing w:after="80" w:before="60" w:line="276" w:lineRule="auto"/>
            </w:pPr>
            <w:hyperlink r:id="rId121">
              <w:r>
                <w:rPr>
                  <w:color w:val="4338CA"/>
                </w:rPr>
                <w:t>[N042]</w:t>
              </w:r>
            </w:hyperlink>
            <w:hyperlink r:id="rId122">
              <w:r>
                <w:rPr>
                  <w:color w:val="4338CA"/>
                </w:rPr>
                <w:t>[N043]</w:t>
              </w:r>
            </w:hyperlink>
          </w:p>
        </w:tc>
      </w:tr>
      <w:tr>
        <w:trPr>
          <w:cantSplit/>
        </w:trPr>
        <w:tc>
          <w:tcPr>
            <w:tcW w:type="dxa" w:w="863"/>
            <w:vAlign w:val="top"/>
          </w:tcPr>
          <w:p>
            <w:pPr>
              <w:spacing w:after="80" w:before="60" w:line="276" w:lineRule="auto"/>
            </w:pPr>
            <w:r>
              <w:rPr>
                <w:sz w:val="16"/>
              </w:rPr>
              <w:t>终测与老化</w:t>
            </w:r>
          </w:p>
        </w:tc>
        <w:tc>
          <w:tcPr>
            <w:tcW w:type="dxa" w:w="2007"/>
            <w:vAlign w:val="top"/>
          </w:tcPr>
          <w:p>
            <w:pPr>
              <w:spacing w:after="80" w:before="60" w:line="276" w:lineRule="auto"/>
            </w:pPr>
            <w:r>
              <w:rPr>
                <w:sz w:val="16"/>
              </w:rPr>
              <w:t>确认成品在目标条件下工作</w:t>
            </w:r>
          </w:p>
        </w:tc>
        <w:tc>
          <w:tcPr>
            <w:tcW w:type="dxa" w:w="2728"/>
            <w:vAlign w:val="top"/>
          </w:tcPr>
          <w:p>
            <w:pPr>
              <w:spacing w:after="80" w:before="60" w:line="276" w:lineRule="auto"/>
            </w:pPr>
            <w:r>
              <w:rPr>
                <w:sz w:val="16"/>
              </w:rPr>
              <w:t>LIV、光谱/波束、burn-in、性能验证</w:t>
            </w:r>
          </w:p>
        </w:tc>
        <w:tc>
          <w:tcPr>
            <w:tcW w:type="dxa" w:w="2781"/>
            <w:vAlign w:val="top"/>
          </w:tcPr>
          <w:p>
            <w:pPr>
              <w:spacing w:after="80" w:before="60" w:line="276" w:lineRule="auto"/>
            </w:pPr>
            <w:r>
              <w:rPr>
                <w:sz w:val="16"/>
              </w:rPr>
              <w:t>温度点、误码、失效分析、追溯与返修</w:t>
            </w:r>
          </w:p>
        </w:tc>
        <w:tc>
          <w:tcPr>
            <w:tcW w:type="dxa" w:w="1514"/>
            <w:vAlign w:val="top"/>
          </w:tcPr>
          <w:p>
            <w:pPr>
              <w:spacing w:after="80" w:before="60" w:line="276" w:lineRule="auto"/>
            </w:pPr>
            <w:hyperlink r:id="rId121">
              <w:r>
                <w:rPr>
                  <w:color w:val="4338CA"/>
                </w:rPr>
                <w:t>[N042]</w:t>
              </w:r>
            </w:hyperlink>
            <w:hyperlink r:id="rId120">
              <w:r>
                <w:rPr>
                  <w:color w:val="4338CA"/>
                </w:rPr>
                <w:t>[N044]</w:t>
              </w:r>
            </w:hyperlink>
          </w:p>
        </w:tc>
      </w:tr>
      <w:tr>
        <w:trPr>
          <w:cantSplit/>
        </w:trPr>
        <w:tc>
          <w:tcPr>
            <w:tcW w:type="dxa" w:w="863"/>
            <w:vAlign w:val="top"/>
          </w:tcPr>
          <w:p>
            <w:pPr>
              <w:spacing w:after="80" w:before="60" w:line="276" w:lineRule="auto"/>
            </w:pPr>
            <w:r>
              <w:rPr>
                <w:sz w:val="16"/>
              </w:rPr>
              <w:t>系统互通与现场</w:t>
            </w:r>
          </w:p>
        </w:tc>
        <w:tc>
          <w:tcPr>
            <w:tcW w:type="dxa" w:w="2007"/>
            <w:vAlign w:val="top"/>
          </w:tcPr>
          <w:p>
            <w:pPr>
              <w:spacing w:after="80" w:before="60" w:line="276" w:lineRule="auto"/>
            </w:pPr>
            <w:r>
              <w:rPr>
                <w:sz w:val="16"/>
              </w:rPr>
              <w:t>模块进入交换机、线缆与运维体系</w:t>
            </w:r>
          </w:p>
        </w:tc>
        <w:tc>
          <w:tcPr>
            <w:tcW w:type="dxa" w:w="2728"/>
            <w:vAlign w:val="top"/>
          </w:tcPr>
          <w:p>
            <w:pPr>
              <w:spacing w:after="80" w:before="60" w:line="276" w:lineRule="auto"/>
            </w:pPr>
            <w:r>
              <w:rPr>
                <w:sz w:val="16"/>
              </w:rPr>
              <w:t>标准/MSA、固件监控、链路测试</w:t>
            </w:r>
          </w:p>
        </w:tc>
        <w:tc>
          <w:tcPr>
            <w:tcW w:type="dxa" w:w="2781"/>
            <w:vAlign w:val="top"/>
          </w:tcPr>
          <w:p>
            <w:pPr>
              <w:spacing w:after="80" w:before="60" w:line="276" w:lineRule="auto"/>
            </w:pPr>
            <w:r>
              <w:rPr>
                <w:sz w:val="16"/>
              </w:rPr>
              <w:t>同规格不同厂商能否持续工作，故障能否定位</w:t>
            </w:r>
          </w:p>
        </w:tc>
        <w:tc>
          <w:tcPr>
            <w:tcW w:type="dxa" w:w="1514"/>
            <w:vAlign w:val="top"/>
          </w:tcPr>
          <w:p>
            <w:pPr>
              <w:spacing w:after="80" w:before="60" w:line="276" w:lineRule="auto"/>
            </w:pPr>
            <w:hyperlink r:id="rId92">
              <w:r>
                <w:rPr>
                  <w:color w:val="4338CA"/>
                </w:rPr>
                <w:t>[N023]</w:t>
              </w:r>
            </w:hyperlink>
            <w:hyperlink r:id="rId90">
              <w:r>
                <w:rPr>
                  <w:color w:val="4338CA"/>
                </w:rPr>
                <w:t>[N047]</w:t>
              </w:r>
            </w:hyperlink>
            <w:hyperlink r:id="rId101">
              <w:r>
                <w:rPr>
                  <w:color w:val="4338CA"/>
                </w:rPr>
                <w:t>[N049]</w:t>
              </w:r>
            </w:hyperlink>
          </w:p>
        </w:tc>
      </w:tr>
    </w:tbl>
    <w:p>
      <w:pPr>
        <w:spacing w:after="0"/>
      </w:pPr>
    </w:p>
    <w:p>
      <w:pPr/>
      <w:r>
        <w:t>制造“光芯片”与生产“光模块”是不同层级；拥有模块装配能力不自动拥有 InP 外延和晶圆工艺。反向看，优秀激光芯片也需要电子器件、封装、散热、光纤连接、固件与系统认证才能成为可售网络端口。</w:t>
      </w:r>
      <w:hyperlink r:id="rId103">
        <w:r>
          <w:rPr>
            <w:color w:val="4338CA"/>
          </w:rPr>
          <w:t>[N033]</w:t>
        </w:r>
      </w:hyperlink>
      <w:hyperlink r:id="rId106">
        <w:r>
          <w:rPr>
            <w:color w:val="4338CA"/>
          </w:rPr>
          <w:t>[N036]</w:t>
        </w:r>
      </w:hyperlink>
      <w:hyperlink r:id="rId100">
        <w:r>
          <w:rPr>
            <w:color w:val="4338CA"/>
          </w:rPr>
          <w:t>[N048]</w:t>
        </w:r>
      </w:hyperlink>
      <w:r>
        <w:t>（本文供应链推论）</w:t>
      </w:r>
    </w:p>
    <w:p>
      <w:pPr>
        <w:pStyle w:val="Heading2"/>
      </w:pPr>
      <w:r>
        <w:t>测试不是一台仪器 四个对象、四套指标</w:t>
      </w:r>
    </w:p>
    <w:p>
      <w:pPr/>
      <w:r>
        <w:rPr>
          <w:b/>
        </w:rPr>
        <w:t>1. 激光/探测器die：</w:t>
      </w:r>
      <w:r>
        <w:t xml:space="preserve"> LIV、光谱、响应、温度、寿命等；先确定器件本体和工艺窗口。</w:t>
      </w:r>
      <w:hyperlink r:id="rId121">
        <w:r>
          <w:rPr>
            <w:color w:val="4338CA"/>
          </w:rPr>
          <w:t>[N042]</w:t>
        </w:r>
      </w:hyperlink>
    </w:p>
    <w:p>
      <w:pPr/>
      <w:r>
        <w:rPr>
          <w:b/>
        </w:rPr>
        <w:t>2. PIC/EIC晶圆：</w:t>
      </w:r>
      <w:r>
        <w:t xml:space="preserve"> 光电联合探测与校准，关注芯片级参数、一致性与可测性；Keysight NX5402A属于此类自动测试体系。</w:t>
      </w:r>
      <w:hyperlink r:id="rId120">
        <w:r>
          <w:rPr>
            <w:color w:val="4338CA"/>
          </w:rPr>
          <w:t>[N044]</w:t>
        </w:r>
      </w:hyperlink>
    </w:p>
    <w:p>
      <w:pPr/>
      <w:r>
        <w:rPr>
          <w:b/>
        </w:rPr>
        <w:t>3. 光引擎/模块：</w:t>
      </w:r>
      <w:r>
        <w:t xml:space="preserve"> 对准、固定、连接、热和固件共同决定最终链路；坐标轴精度只覆盖其中一部分。</w:t>
      </w:r>
      <w:hyperlink r:id="rId121">
        <w:r>
          <w:rPr>
            <w:color w:val="4338CA"/>
          </w:rPr>
          <w:t>[N042]</w:t>
        </w:r>
      </w:hyperlink>
      <w:hyperlink r:id="rId122">
        <w:r>
          <w:rPr>
            <w:color w:val="4338CA"/>
          </w:rPr>
          <w:t>[N043]</w:t>
        </w:r>
      </w:hyperlink>
    </w:p>
    <w:p>
      <w:pPr/>
      <w:r>
        <w:rPr>
          <w:b/>
        </w:rPr>
        <w:t>4. 网络系统：</w:t>
      </w:r>
      <w:r>
        <w:t xml:space="preserve"> 误码/FEC、跨厂互通、拥塞、链路抖动/重训、故障恢复和长时运行；单模块达标不能替代集群验证。</w:t>
      </w:r>
      <w:hyperlink r:id="rId39">
        <w:r>
          <w:rPr>
            <w:color w:val="4338CA"/>
          </w:rPr>
          <w:t>[N022]</w:t>
        </w:r>
      </w:hyperlink>
      <w:hyperlink r:id="rId92">
        <w:r>
          <w:rPr>
            <w:color w:val="4338CA"/>
          </w:rPr>
          <w:t>[N023]</w:t>
        </w:r>
      </w:hyperlink>
      <w:hyperlink r:id="rId101">
        <w:r>
          <w:rPr>
            <w:color w:val="4338CA"/>
          </w:rPr>
          <w:t>[N049]</w:t>
        </w:r>
      </w:hyperlink>
    </w:p>
    <w:p>
      <w:pPr/>
      <w:r>
        <w:t>六自由度通常是在 X/Y/Z 平移之外加三个转动自由度。PI 产品页明确有全电动 6DOF 版本；ficonTEC 说明多轴亚微米主动/被动对准。因此“能做XYZ动态对准”能说明能力类别，不能单凭这一点证明罗博特科/ficonTEC 独占市场。</w:t>
      </w:r>
      <w:hyperlink r:id="rId121">
        <w:r>
          <w:rPr>
            <w:color w:val="4338CA"/>
          </w:rPr>
          <w:t>[N042]</w:t>
        </w:r>
      </w:hyperlink>
      <w:hyperlink r:id="rId122">
        <w:r>
          <w:rPr>
            <w:color w:val="4338CA"/>
          </w:rPr>
          <w:t>[N043]</w:t>
        </w:r>
      </w:hyperlink>
    </w:p>
    <w:p>
      <w:pPr/>
      <w:r>
        <w:rPr>
          <w:b/>
        </w:rPr>
        <w:t>真正应追问的数据：</w:t>
      </w:r>
      <w:r>
        <w:t xml:space="preserve"> 客户产品/波长/通道数下的耦合良率分布；UPH、换线时间、设备稼动率；胶固化前后与温度循环后的损耗变化；误差校准和追溯；耗材/返修成本；客户量产线重复采购。上述是本文提出的可证伪壁垒清单，尚未拿到各家可比验收原始数据。</w:t>
      </w:r>
      <w:hyperlink r:id="rId121">
        <w:r>
          <w:rPr>
            <w:color w:val="4338CA"/>
          </w:rPr>
          <w:t>[N042]</w:t>
        </w:r>
      </w:hyperlink>
      <w:hyperlink r:id="rId122">
        <w:r>
          <w:rPr>
            <w:color w:val="4338CA"/>
          </w:rPr>
          <w:t>[N043]</w:t>
        </w:r>
      </w:hyperlink>
      <w:hyperlink r:id="rId120">
        <w:r>
          <w:rPr>
            <w:color w:val="4338CA"/>
          </w:rPr>
          <w:t>[N044]</w:t>
        </w:r>
      </w:hyperlink>
    </w:p>
    <w:p>
      <w:pPr>
        <w:pStyle w:val="Heading2"/>
      </w:pPr>
      <w:r>
        <w:t>数据中心之间 从短距IMDD进入相干传输</w:t>
      </w:r>
    </w:p>
    <w:p>
      <w:pPr/>
      <w:r>
        <w:t>园区/城域/长距 DCI 需要把路由/交换业务接口接到相干光模块或传输平台，再经波分复用线路传输。相干接收利用更复杂的光电检测和 DSP 处理，提高频谱利用与链路适应能力；线路端还涉及放大、光路配置、监控和光纤路由。Ciena 产品地图覆盖 coherent pluggables、line systems、backbone 与 submarine，这些不能压缩为一只“光模块”。</w:t>
      </w:r>
      <w:hyperlink r:id="rId93">
        <w:r>
          <w:rPr>
            <w:color w:val="4338CA"/>
          </w:rPr>
          <w:t>[N046]</w:t>
        </w:r>
      </w:hyperlink>
    </w:p>
    <w:p>
      <w:pPr/>
      <w:r>
        <w:t>在 DCI 中，DWDM 增加同一光纤承载的波长，ROADM 负责可重构波长路由，EDFA 等补偿光功率损耗；链路预算仍受噪声、色散、非线性与连接损耗限制。800ZR 模块的速率是给定模式/链路条件下的接口能力，不能把展示的距离无条件扩展到所有光纤线路。</w:t>
      </w:r>
      <w:hyperlink r:id="rId123">
        <w:r>
          <w:rPr>
            <w:color w:val="4338CA"/>
          </w:rPr>
          <w:t>[N088]</w:t>
        </w:r>
      </w:hyperlink>
      <w:hyperlink r:id="rId101">
        <w:r>
          <w:rPr>
            <w:color w:val="4338CA"/>
          </w:rPr>
          <w:t>[N049]</w:t>
        </w:r>
      </w:hyperlink>
      <w:hyperlink r:id="rId86">
        <w:r>
          <w:rPr>
            <w:color w:val="4338CA"/>
          </w:rPr>
          <w:t>[N065]</w:t>
        </w:r>
      </w:hyperlink>
    </w:p>
    <w:p>
      <w:pPr/>
      <w:r>
        <w:t>跨海光缆进一步加入海底线路、分支、供电、湿端与登陆站等专门工程。它服务全球数据连接，却不是一座机房内部 AI 后端网络的同类 BOM；本报告仅把它作为 DCI 边界延伸，不将海缆建设金额计入每个 AI 机架的内容价值。</w:t>
      </w:r>
      <w:hyperlink r:id="rId93">
        <w:r>
          <w:rPr>
            <w:color w:val="4338CA"/>
          </w:rPr>
          <w:t>[N046]</w:t>
        </w:r>
      </w:hyperlink>
      <w:hyperlink r:id="rId65">
        <w:r>
          <w:rPr>
            <w:color w:val="4338CA"/>
          </w:rPr>
          <w:t>[N060]</w:t>
        </w:r>
      </w:hyperlink>
      <w:r>
        <w:t>（本文范围界定）</w:t>
      </w:r>
    </w:p>
    <w:p>
      <w:pPr>
        <w:pStyle w:val="Heading1"/>
        <w:pageBreakBefore/>
      </w:pPr>
      <w:r>
        <w:t>03C  网络与光互联企业地图、瓶颈与可证伪投资命题</w:t>
      </w:r>
    </w:p>
    <w:p>
      <w:pPr/>
      <w:r>
        <w:t>本章是按技术位置建立的候选地图，不是市场份额排名，也不声称同一行企业相互供货。集团所在地、研发地、晶圆厂、封装地和销售市场可以不同；出口限制及客户认证须单独尽调。</w:t>
      </w:r>
    </w:p>
    <w:p>
      <w:pPr>
        <w:pStyle w:val="Heading2"/>
      </w:pPr>
      <w:r>
        <w:t>按部件寻找企业 而非把“光通信”当一类</w:t>
      </w:r>
    </w:p>
    <w:tbl>
      <w:tblPr>
        <w:tblW w:type="auto" w:w="0"/>
        <w:jc w:val="center"/>
        <w:tblLayout w:type="fixed"/>
        <w:tblLook w:firstColumn="1" w:firstRow="1" w:lastColumn="0" w:lastRow="0" w:noHBand="0" w:noVBand="1" w:val="04A0"/>
      </w:tblPr>
      <w:tblGrid>
        <w:gridCol w:w="697"/>
        <w:gridCol w:w="2216"/>
        <w:gridCol w:w="2615"/>
        <w:gridCol w:w="1749"/>
        <w:gridCol w:w="2615"/>
      </w:tblGrid>
      <w:tr>
        <w:trPr>
          <w:tblHeader/>
        </w:trPr>
        <w:tc>
          <w:tcPr>
            <w:tcW w:type="dxa" w:w="697"/>
            <w:vAlign w:val="top"/>
            <w:shd w:fill="E0E7FF"/>
          </w:tcPr>
          <w:p>
            <w:pPr>
              <w:spacing w:after="80" w:before="60" w:line="276" w:lineRule="auto"/>
            </w:pPr>
            <w:r>
              <w:rPr>
                <w:b/>
                <w:sz w:val="16"/>
              </w:rPr>
              <w:t>技术位置</w:t>
            </w:r>
          </w:p>
        </w:tc>
        <w:tc>
          <w:tcPr>
            <w:tcW w:type="dxa" w:w="2216"/>
            <w:vAlign w:val="top"/>
            <w:shd w:fill="E0E7FF"/>
          </w:tcPr>
          <w:p>
            <w:pPr>
              <w:spacing w:after="80" w:before="60" w:line="276" w:lineRule="auto"/>
            </w:pPr>
            <w:r>
              <w:rPr>
                <w:b/>
                <w:sz w:val="16"/>
              </w:rPr>
              <w:t>美国/北美</w:t>
            </w:r>
          </w:p>
        </w:tc>
        <w:tc>
          <w:tcPr>
            <w:tcW w:type="dxa" w:w="2615"/>
            <w:vAlign w:val="top"/>
            <w:shd w:fill="E0E7FF"/>
          </w:tcPr>
          <w:p>
            <w:pPr>
              <w:spacing w:after="80" w:before="60" w:line="276" w:lineRule="auto"/>
            </w:pPr>
            <w:r>
              <w:rPr>
                <w:b/>
                <w:sz w:val="16"/>
              </w:rPr>
              <w:t>中国大陆/中国台湾</w:t>
            </w:r>
          </w:p>
        </w:tc>
        <w:tc>
          <w:tcPr>
            <w:tcW w:type="dxa" w:w="1749"/>
            <w:vAlign w:val="top"/>
            <w:shd w:fill="E0E7FF"/>
          </w:tcPr>
          <w:p>
            <w:pPr>
              <w:spacing w:after="80" w:before="60" w:line="276" w:lineRule="auto"/>
            </w:pPr>
            <w:r>
              <w:rPr>
                <w:b/>
                <w:sz w:val="16"/>
              </w:rPr>
              <w:t>欧洲、日本及其他地区</w:t>
            </w:r>
          </w:p>
        </w:tc>
        <w:tc>
          <w:tcPr>
            <w:tcW w:type="dxa" w:w="2615"/>
            <w:vAlign w:val="top"/>
            <w:shd w:fill="E0E7FF"/>
          </w:tcPr>
          <w:p>
            <w:pPr>
              <w:spacing w:after="80" w:before="60" w:line="276" w:lineRule="auto"/>
            </w:pPr>
            <w:r>
              <w:rPr>
                <w:b/>
                <w:sz w:val="16"/>
              </w:rPr>
              <w:t xml:space="preserve">证据边界</w:t>
            </w:r>
          </w:p>
        </w:tc>
      </w:tr>
      <w:tr>
        <w:trPr>
          <w:cantSplit/>
        </w:trPr>
        <w:tc>
          <w:tcPr>
            <w:tcW w:type="dxa" w:w="697"/>
            <w:vAlign w:val="top"/>
          </w:tcPr>
          <w:p>
            <w:pPr>
              <w:spacing w:after="80" w:before="60" w:line="276" w:lineRule="auto"/>
            </w:pPr>
            <w:r>
              <w:rPr>
                <w:sz w:val="16"/>
              </w:rPr>
              <w:t>交换/网络平台</w:t>
            </w:r>
          </w:p>
        </w:tc>
        <w:tc>
          <w:tcPr>
            <w:tcW w:type="dxa" w:w="2216"/>
            <w:vAlign w:val="top"/>
          </w:tcPr>
          <w:p>
            <w:pPr>
              <w:spacing w:after="80" w:before="60" w:line="276" w:lineRule="auto"/>
            </w:pPr>
            <w:r>
              <w:rPr>
                <w:sz w:val="16"/>
              </w:rPr>
              <w:t>NVIDIA；Arista；Cisco；HPE Juniper</w:t>
            </w:r>
          </w:p>
        </w:tc>
        <w:tc>
          <w:tcPr>
            <w:tcW w:type="dxa" w:w="2615"/>
            <w:vAlign w:val="top"/>
          </w:tcPr>
          <w:p>
            <w:pPr>
              <w:spacing w:after="80" w:before="60" w:line="276" w:lineRule="auto"/>
            </w:pPr>
            <w:r>
              <w:rPr>
                <w:sz w:val="16"/>
              </w:rPr>
              <w:t>华为；新华三 H3C；台湾智邦 Accton</w:t>
            </w:r>
          </w:p>
        </w:tc>
        <w:tc>
          <w:tcPr>
            <w:tcW w:type="dxa" w:w="1749"/>
            <w:vAlign w:val="top"/>
          </w:tcPr>
          <w:p>
            <w:pPr>
              <w:spacing w:after="80" w:before="60" w:line="276" w:lineRule="auto"/>
            </w:pPr>
            <w:r>
              <w:rPr>
                <w:sz w:val="16"/>
              </w:rPr>
              <w:t>各厂在多地区有销售/服务，不按销售地重复计数</w:t>
            </w:r>
          </w:p>
        </w:tc>
        <w:tc>
          <w:tcPr>
            <w:tcW w:type="dxa" w:w="2615"/>
            <w:vAlign w:val="top"/>
          </w:tcPr>
          <w:p>
            <w:pPr>
              <w:spacing w:after="80" w:before="60" w:line="276" w:lineRule="auto"/>
            </w:pPr>
            <w:r>
              <w:rPr>
                <w:sz w:val="16"/>
              </w:rPr>
              <w:t>平台/手册/ODM产品；未核独立市场份额。</w:t>
            </w:r>
            <w:hyperlink r:id="rId38">
              <w:r>
                <w:rPr>
                  <w:color w:val="4338CA"/>
                </w:rPr>
                <w:t>[N021]</w:t>
              </w:r>
            </w:hyperlink>
            <w:hyperlink r:id="rId39">
              <w:r>
                <w:rPr>
                  <w:color w:val="4338CA"/>
                </w:rPr>
                <w:t>[N022]</w:t>
              </w:r>
            </w:hyperlink>
            <w:hyperlink r:id="rId124">
              <w:r>
                <w:rPr>
                  <w:color w:val="4338CA"/>
                </w:rPr>
                <w:t>[N061]</w:t>
              </w:r>
            </w:hyperlink>
            <w:hyperlink r:id="rId125">
              <w:r>
                <w:rPr>
                  <w:color w:val="4338CA"/>
                </w:rPr>
                <w:t>[N062]</w:t>
              </w:r>
            </w:hyperlink>
            <w:hyperlink r:id="rId126">
              <w:r>
                <w:rPr>
                  <w:color w:val="4338CA"/>
                </w:rPr>
                <w:t>[N073]</w:t>
              </w:r>
            </w:hyperlink>
            <w:hyperlink r:id="rId127">
              <w:r>
                <w:rPr>
                  <w:color w:val="4338CA"/>
                </w:rPr>
                <w:t>[N074]</w:t>
              </w:r>
            </w:hyperlink>
            <w:hyperlink r:id="rId128">
              <w:r>
                <w:rPr>
                  <w:color w:val="4338CA"/>
                </w:rPr>
                <w:t>[N075]</w:t>
              </w:r>
            </w:hyperlink>
          </w:p>
        </w:tc>
      </w:tr>
      <w:tr>
        <w:trPr>
          <w:cantSplit/>
        </w:trPr>
        <w:tc>
          <w:tcPr>
            <w:tcW w:type="dxa" w:w="697"/>
            <w:vAlign w:val="top"/>
          </w:tcPr>
          <w:p>
            <w:pPr>
              <w:spacing w:after="80" w:before="60" w:line="276" w:lineRule="auto"/>
            </w:pPr>
            <w:r>
              <w:rPr>
                <w:sz w:val="16"/>
              </w:rPr>
              <w:t>网络ASIC与高速DSP</w:t>
            </w:r>
          </w:p>
        </w:tc>
        <w:tc>
          <w:tcPr>
            <w:tcW w:type="dxa" w:w="2216"/>
            <w:vAlign w:val="top"/>
          </w:tcPr>
          <w:p>
            <w:pPr>
              <w:spacing w:after="80" w:before="60" w:line="276" w:lineRule="auto"/>
            </w:pPr>
            <w:r>
              <w:rPr>
                <w:sz w:val="16"/>
              </w:rPr>
              <w:t>Broadcom；Cisco Silicon One；Marvell；Credo</w:t>
            </w:r>
          </w:p>
        </w:tc>
        <w:tc>
          <w:tcPr>
            <w:tcW w:type="dxa" w:w="2615"/>
            <w:vAlign w:val="top"/>
          </w:tcPr>
          <w:p>
            <w:pPr>
              <w:spacing w:after="80" w:before="60" w:line="276" w:lineRule="auto"/>
            </w:pPr>
            <w:r>
              <w:rPr>
                <w:sz w:val="16"/>
              </w:rPr>
              <w:t>盛科：官方披露交换芯片产品；不以整机品牌代替ASIC原厂</w:t>
            </w:r>
          </w:p>
        </w:tc>
        <w:tc>
          <w:tcPr>
            <w:tcW w:type="dxa" w:w="1749"/>
            <w:vAlign w:val="top"/>
          </w:tcPr>
          <w:p>
            <w:pPr>
              <w:spacing w:after="80" w:before="60" w:line="276" w:lineRule="auto"/>
            </w:pPr>
            <w:r>
              <w:rPr>
                <w:sz w:val="16"/>
              </w:rPr>
              <w:t>不因代工厂所在地改变设计商分类</w:t>
            </w:r>
          </w:p>
        </w:tc>
        <w:tc>
          <w:tcPr>
            <w:tcW w:type="dxa" w:w="2615"/>
            <w:vAlign w:val="top"/>
          </w:tcPr>
          <w:p>
            <w:pPr>
              <w:spacing w:after="80" w:before="60" w:line="276" w:lineRule="auto"/>
            </w:pPr>
            <w:r>
              <w:rPr>
                <w:sz w:val="16"/>
              </w:rPr>
              <w:t>盛科所列12.8T/25.6T、最大800G等能力，不能视作与更高容量平台全面等效。</w:t>
            </w:r>
            <w:hyperlink r:id="rId107">
              <w:r>
                <w:rPr>
                  <w:color w:val="4338CA"/>
                </w:rPr>
                <w:t>[N029]</w:t>
              </w:r>
            </w:hyperlink>
            <w:hyperlink r:id="rId108">
              <w:r>
                <w:rPr>
                  <w:color w:val="4338CA"/>
                </w:rPr>
                <w:t>[N032]</w:t>
              </w:r>
            </w:hyperlink>
            <w:hyperlink r:id="rId86">
              <w:r>
                <w:rPr>
                  <w:color w:val="4338CA"/>
                </w:rPr>
                <w:t>[N065]</w:t>
              </w:r>
            </w:hyperlink>
            <w:hyperlink r:id="rId126">
              <w:r>
                <w:rPr>
                  <w:color w:val="4338CA"/>
                </w:rPr>
                <w:t>[N073]</w:t>
              </w:r>
            </w:hyperlink>
            <w:hyperlink r:id="rId129">
              <w:r>
                <w:rPr>
                  <w:color w:val="4338CA"/>
                </w:rPr>
                <w:t>[R053]</w:t>
              </w:r>
            </w:hyperlink>
          </w:p>
        </w:tc>
      </w:tr>
      <w:tr>
        <w:trPr>
          <w:cantSplit/>
        </w:trPr>
        <w:tc>
          <w:tcPr>
            <w:tcW w:type="dxa" w:w="697"/>
            <w:vAlign w:val="top"/>
          </w:tcPr>
          <w:p>
            <w:pPr>
              <w:spacing w:after="80" w:before="60" w:line="276" w:lineRule="auto"/>
            </w:pPr>
            <w:r>
              <w:rPr>
                <w:sz w:val="16"/>
              </w:rPr>
              <w:t>NIC/DPU与板级连接</w:t>
            </w:r>
          </w:p>
        </w:tc>
        <w:tc>
          <w:tcPr>
            <w:tcW w:type="dxa" w:w="2216"/>
            <w:vAlign w:val="top"/>
          </w:tcPr>
          <w:p>
            <w:pPr>
              <w:spacing w:after="80" w:before="60" w:line="276" w:lineRule="auto"/>
            </w:pPr>
            <w:r>
              <w:rPr>
                <w:sz w:val="16"/>
              </w:rPr>
              <w:t>NVIDIA BlueField/ConnectX；Astera Labs retimer</w:t>
            </w:r>
          </w:p>
        </w:tc>
        <w:tc>
          <w:tcPr>
            <w:tcW w:type="dxa" w:w="2615"/>
            <w:vAlign w:val="top"/>
          </w:tcPr>
          <w:p>
            <w:pPr>
              <w:spacing w:after="80" w:before="60" w:line="276" w:lineRule="auto"/>
            </w:pPr>
            <w:r>
              <w:rPr>
                <w:sz w:val="16"/>
              </w:rPr>
              <w:t>中科驭数K2-Pro；云豹智能DPU；分别核实接口速率和软件</w:t>
            </w:r>
          </w:p>
        </w:tc>
        <w:tc>
          <w:tcPr>
            <w:tcW w:type="dxa" w:w="1749"/>
            <w:vAlign w:val="top"/>
          </w:tcPr>
          <w:p>
            <w:pPr>
              <w:spacing w:after="80" w:before="60" w:line="276" w:lineRule="auto"/>
            </w:pPr>
            <w:r>
              <w:rPr>
                <w:sz w:val="16"/>
              </w:rPr>
              <w:t>UALink/CXL参与者不等于已出货产品</w:t>
            </w:r>
          </w:p>
        </w:tc>
        <w:tc>
          <w:tcPr>
            <w:tcW w:type="dxa" w:w="2615"/>
            <w:vAlign w:val="top"/>
          </w:tcPr>
          <w:p>
            <w:pPr>
              <w:spacing w:after="80" w:before="60" w:line="276" w:lineRule="auto"/>
            </w:pPr>
            <w:r>
              <w:rPr>
                <w:sz w:val="16"/>
              </w:rPr>
              <w:t>K2-Pro目录为2×100GbE、PCIe Gen3×16；云豹2021年公开产品为2×25G，不能混称800G产品。</w:t>
            </w:r>
            <w:hyperlink r:id="rId85">
              <w:r>
                <w:rPr>
                  <w:color w:val="4338CA"/>
                </w:rPr>
                <w:t>[N027]</w:t>
              </w:r>
            </w:hyperlink>
            <w:hyperlink r:id="rId91">
              <w:r>
                <w:rPr>
                  <w:color w:val="4338CA"/>
                </w:rPr>
                <w:t>[N028]</w:t>
              </w:r>
            </w:hyperlink>
            <w:hyperlink r:id="rId130">
              <w:r>
                <w:rPr>
                  <w:color w:val="4338CA"/>
                </w:rPr>
                <w:t>[R054]</w:t>
              </w:r>
            </w:hyperlink>
            <w:hyperlink r:id="rId131">
              <w:r>
                <w:rPr>
                  <w:color w:val="4338CA"/>
                </w:rPr>
                <w:t>[R055]</w:t>
              </w:r>
            </w:hyperlink>
            <w:hyperlink r:id="rId132">
              <w:r>
                <w:rPr>
                  <w:color w:val="4338CA"/>
                </w:rPr>
                <w:t>[R056]</w:t>
              </w:r>
            </w:hyperlink>
          </w:p>
        </w:tc>
      </w:tr>
      <w:tr>
        <w:trPr>
          <w:cantSplit/>
        </w:trPr>
        <w:tc>
          <w:tcPr>
            <w:tcW w:type="dxa" w:w="697"/>
            <w:vAlign w:val="top"/>
          </w:tcPr>
          <w:p>
            <w:pPr>
              <w:spacing w:after="80" w:before="60" w:line="276" w:lineRule="auto"/>
            </w:pPr>
            <w:r>
              <w:rPr>
                <w:sz w:val="16"/>
              </w:rPr>
              <w:t>模拟光电接口</w:t>
            </w:r>
          </w:p>
        </w:tc>
        <w:tc>
          <w:tcPr>
            <w:tcW w:type="dxa" w:w="2216"/>
            <w:vAlign w:val="top"/>
          </w:tcPr>
          <w:p>
            <w:pPr>
              <w:spacing w:after="80" w:before="60" w:line="276" w:lineRule="auto"/>
            </w:pPr>
            <w:r>
              <w:rPr>
                <w:sz w:val="16"/>
              </w:rPr>
              <w:t>Semtech TIA/laser driver；相关Credo SerDes/DSP</w:t>
            </w:r>
          </w:p>
        </w:tc>
        <w:tc>
          <w:tcPr>
            <w:tcW w:type="dxa" w:w="2615"/>
            <w:vAlign w:val="top"/>
          </w:tcPr>
          <w:p>
            <w:pPr>
              <w:spacing w:after="80" w:before="60" w:line="276" w:lineRule="auto"/>
            </w:pPr>
            <w:r>
              <w:rPr>
                <w:sz w:val="16"/>
              </w:rPr>
              <w:t>与模块厂共同适配，不能把模块品牌当TIA来源</w:t>
            </w:r>
          </w:p>
        </w:tc>
        <w:tc>
          <w:tcPr>
            <w:tcW w:type="dxa" w:w="1749"/>
            <w:vAlign w:val="top"/>
          </w:tcPr>
          <w:p>
            <w:pPr>
              <w:spacing w:after="80" w:before="60" w:line="276" w:lineRule="auto"/>
            </w:pPr>
            <w:r>
              <w:rPr>
                <w:sz w:val="16"/>
              </w:rPr>
              <w:t>硅光代工平台另有SiGe电子支持</w:t>
            </w:r>
          </w:p>
        </w:tc>
        <w:tc>
          <w:tcPr>
            <w:tcW w:type="dxa" w:w="2615"/>
            <w:vAlign w:val="top"/>
          </w:tcPr>
          <w:p>
            <w:pPr>
              <w:spacing w:after="80" w:before="60" w:line="276" w:lineRule="auto"/>
            </w:pPr>
            <w:r>
              <w:rPr>
                <w:sz w:val="16"/>
              </w:rPr>
              <w:t>retimed和LPO路线有不同信号预算。</w:t>
            </w:r>
            <w:hyperlink r:id="rId99">
              <w:r>
                <w:rPr>
                  <w:color w:val="4338CA"/>
                </w:rPr>
                <w:t>[N030]</w:t>
              </w:r>
            </w:hyperlink>
            <w:hyperlink r:id="rId107">
              <w:r>
                <w:rPr>
                  <w:color w:val="4338CA"/>
                </w:rPr>
                <w:t>[N029]</w:t>
              </w:r>
            </w:hyperlink>
            <w:hyperlink r:id="rId114">
              <w:r>
                <w:rPr>
                  <w:color w:val="4338CA"/>
                </w:rPr>
                <w:t>[N066]</w:t>
              </w:r>
            </w:hyperlink>
          </w:p>
        </w:tc>
      </w:tr>
      <w:tr>
        <w:trPr>
          <w:cantSplit/>
        </w:trPr>
        <w:tc>
          <w:tcPr>
            <w:tcW w:type="dxa" w:w="697"/>
            <w:vAlign w:val="top"/>
          </w:tcPr>
          <w:p>
            <w:pPr>
              <w:spacing w:after="80" w:before="60" w:line="276" w:lineRule="auto"/>
            </w:pPr>
            <w:r>
              <w:rPr>
                <w:sz w:val="16"/>
              </w:rPr>
              <w:t>激光/有源光芯片</w:t>
            </w:r>
          </w:p>
        </w:tc>
        <w:tc>
          <w:tcPr>
            <w:tcW w:type="dxa" w:w="2216"/>
            <w:vAlign w:val="top"/>
          </w:tcPr>
          <w:p>
            <w:pPr>
              <w:spacing w:after="80" w:before="60" w:line="276" w:lineRule="auto"/>
            </w:pPr>
            <w:r>
              <w:rPr>
                <w:sz w:val="16"/>
              </w:rPr>
              <w:t>Lumentum；Coherent</w:t>
            </w:r>
          </w:p>
        </w:tc>
        <w:tc>
          <w:tcPr>
            <w:tcW w:type="dxa" w:w="2615"/>
            <w:vAlign w:val="top"/>
          </w:tcPr>
          <w:p>
            <w:pPr>
              <w:spacing w:after="80" w:before="60" w:line="276" w:lineRule="auto"/>
            </w:pPr>
            <w:r>
              <w:rPr>
                <w:sz w:val="16"/>
              </w:rPr>
              <w:t>源杰有EML/CW DFB目录；SiFotonics有硅光产品，两种平台不混称</w:t>
            </w:r>
          </w:p>
        </w:tc>
        <w:tc>
          <w:tcPr>
            <w:tcW w:type="dxa" w:w="1749"/>
            <w:vAlign w:val="top"/>
          </w:tcPr>
          <w:p>
            <w:pPr>
              <w:spacing w:after="80" w:before="60" w:line="276" w:lineRule="auto"/>
            </w:pPr>
            <w:r>
              <w:rPr>
                <w:sz w:val="16"/>
              </w:rPr>
              <w:t>日本住友电工、古河电工；产品范畴不同</w:t>
            </w:r>
          </w:p>
        </w:tc>
        <w:tc>
          <w:tcPr>
            <w:tcW w:type="dxa" w:w="2615"/>
            <w:vAlign w:val="top"/>
          </w:tcPr>
          <w:p>
            <w:pPr>
              <w:spacing w:after="80" w:before="60" w:line="276" w:lineRule="auto"/>
            </w:pPr>
            <w:r>
              <w:rPr>
                <w:sz w:val="16"/>
              </w:rPr>
              <w:t>产品目录不能证明全部型号均已批量、良率或份额。</w:t>
            </w:r>
            <w:hyperlink r:id="rId103">
              <w:r>
                <w:rPr>
                  <w:color w:val="4338CA"/>
                </w:rPr>
                <w:t>[N033]</w:t>
              </w:r>
            </w:hyperlink>
            <w:hyperlink r:id="rId111">
              <w:r>
                <w:rPr>
                  <w:color w:val="4338CA"/>
                </w:rPr>
                <w:t>[N039]</w:t>
              </w:r>
            </w:hyperlink>
            <w:hyperlink r:id="rId80">
              <w:r>
                <w:rPr>
                  <w:color w:val="4338CA"/>
                </w:rPr>
                <w:t>[N050]</w:t>
              </w:r>
            </w:hyperlink>
            <w:hyperlink r:id="rId81">
              <w:r>
                <w:rPr>
                  <w:color w:val="4338CA"/>
                </w:rPr>
                <w:t>[N051]</w:t>
              </w:r>
            </w:hyperlink>
            <w:hyperlink r:id="rId133">
              <w:r>
                <w:rPr>
                  <w:color w:val="4338CA"/>
                </w:rPr>
                <w:t>[N056]</w:t>
              </w:r>
            </w:hyperlink>
            <w:hyperlink r:id="rId134">
              <w:r>
                <w:rPr>
                  <w:color w:val="4338CA"/>
                </w:rPr>
                <w:t>[R051]</w:t>
              </w:r>
            </w:hyperlink>
          </w:p>
        </w:tc>
      </w:tr>
      <w:tr>
        <w:trPr>
          <w:cantSplit/>
        </w:trPr>
        <w:tc>
          <w:tcPr>
            <w:tcW w:type="dxa" w:w="697"/>
            <w:vAlign w:val="top"/>
          </w:tcPr>
          <w:p>
            <w:pPr>
              <w:spacing w:after="80" w:before="60" w:line="276" w:lineRule="auto"/>
            </w:pPr>
            <w:r>
              <w:rPr>
                <w:sz w:val="16"/>
              </w:rPr>
              <w:t>微光学/无源/光引擎配套</w:t>
            </w:r>
          </w:p>
        </w:tc>
        <w:tc>
          <w:tcPr>
            <w:tcW w:type="dxa" w:w="2216"/>
            <w:vAlign w:val="top"/>
          </w:tcPr>
          <w:p>
            <w:pPr>
              <w:spacing w:after="80" w:before="60" w:line="276" w:lineRule="auto"/>
            </w:pPr>
            <w:r>
              <w:rPr>
                <w:sz w:val="16"/>
              </w:rPr>
              <w:t>Corning等布线与光学生态须按产品分层</w:t>
            </w:r>
          </w:p>
        </w:tc>
        <w:tc>
          <w:tcPr>
            <w:tcW w:type="dxa" w:w="2615"/>
            <w:vAlign w:val="top"/>
          </w:tcPr>
          <w:p>
            <w:pPr>
              <w:spacing w:after="80" w:before="60" w:line="276" w:lineRule="auto"/>
            </w:pPr>
            <w:r>
              <w:rPr>
                <w:sz w:val="16"/>
              </w:rPr>
              <w:t>天孚：Mux TOSA、Demux POSA、Lensed FAU；腾景：准直/环形/隔离/VOA/WDM；仕佳：PLC/AWG</w:t>
            </w:r>
          </w:p>
        </w:tc>
        <w:tc>
          <w:tcPr>
            <w:tcW w:type="dxa" w:w="1749"/>
            <w:vAlign w:val="top"/>
          </w:tcPr>
          <w:p>
            <w:pPr>
              <w:spacing w:after="80" w:before="60" w:line="276" w:lineRule="auto"/>
            </w:pPr>
            <w:r>
              <w:rPr>
                <w:sz w:val="16"/>
              </w:rPr>
              <w:t>分别是组件、平台与装配能力，不是整条光模块业务同质竞争</w:t>
            </w:r>
          </w:p>
        </w:tc>
        <w:tc>
          <w:tcPr>
            <w:tcW w:type="dxa" w:w="2615"/>
            <w:vAlign w:val="top"/>
          </w:tcPr>
          <w:p>
            <w:pPr>
              <w:spacing w:after="80" w:before="60" w:line="276" w:lineRule="auto"/>
            </w:pPr>
            <w:r>
              <w:rPr>
                <w:sz w:val="16"/>
              </w:rPr>
              <w:t>目录支持产品类别，客户认证与每SKU量产规模另查。</w:t>
            </w:r>
            <w:hyperlink r:id="rId135">
              <w:r>
                <w:rPr>
                  <w:color w:val="4338CA"/>
                </w:rPr>
                <w:t>[R049]</w:t>
              </w:r>
            </w:hyperlink>
            <w:hyperlink r:id="rId136">
              <w:r>
                <w:rPr>
                  <w:color w:val="4338CA"/>
                </w:rPr>
                <w:t>[R050]</w:t>
              </w:r>
            </w:hyperlink>
            <w:hyperlink r:id="rId137">
              <w:r>
                <w:rPr>
                  <w:color w:val="4338CA"/>
                </w:rPr>
                <w:t>[R052]</w:t>
              </w:r>
            </w:hyperlink>
            <w:hyperlink r:id="rId138">
              <w:r>
                <w:rPr>
                  <w:color w:val="4338CA"/>
                </w:rPr>
                <w:t>[R057]</w:t>
              </w:r>
            </w:hyperlink>
          </w:p>
        </w:tc>
      </w:tr>
      <w:tr>
        <w:trPr>
          <w:cantSplit/>
        </w:trPr>
        <w:tc>
          <w:tcPr>
            <w:tcW w:type="dxa" w:w="697"/>
            <w:vAlign w:val="top"/>
          </w:tcPr>
          <w:p>
            <w:pPr>
              <w:spacing w:after="80" w:before="60" w:line="276" w:lineRule="auto"/>
            </w:pPr>
            <w:r>
              <w:rPr>
                <w:sz w:val="16"/>
              </w:rPr>
              <w:t>高速光模块</w:t>
            </w:r>
          </w:p>
        </w:tc>
        <w:tc>
          <w:tcPr>
            <w:tcW w:type="dxa" w:w="2216"/>
            <w:vAlign w:val="top"/>
          </w:tcPr>
          <w:p>
            <w:pPr>
              <w:spacing w:after="80" w:before="60" w:line="276" w:lineRule="auto"/>
            </w:pPr>
            <w:r>
              <w:rPr>
                <w:sz w:val="16"/>
              </w:rPr>
              <w:t>多家系统/器件商提供模块或光引擎</w:t>
            </w:r>
          </w:p>
        </w:tc>
        <w:tc>
          <w:tcPr>
            <w:tcW w:type="dxa" w:w="2615"/>
            <w:vAlign w:val="top"/>
          </w:tcPr>
          <w:p>
            <w:pPr>
              <w:spacing w:after="80" w:before="60" w:line="276" w:lineRule="auto"/>
            </w:pPr>
            <w:r>
              <w:rPr>
                <w:sz w:val="16"/>
              </w:rPr>
              <w:t>中际旭创旗下InnoLight；新易盛Eoptolink；光迅Accelink</w:t>
            </w:r>
          </w:p>
        </w:tc>
        <w:tc>
          <w:tcPr>
            <w:tcW w:type="dxa" w:w="1749"/>
            <w:vAlign w:val="top"/>
          </w:tcPr>
          <w:p>
            <w:pPr>
              <w:spacing w:after="80" w:before="60" w:line="276" w:lineRule="auto"/>
            </w:pPr>
            <w:r>
              <w:rPr>
                <w:sz w:val="16"/>
              </w:rPr>
              <w:t>不按模块最终装配地推定上游芯片全本地化</w:t>
            </w:r>
          </w:p>
        </w:tc>
        <w:tc>
          <w:tcPr>
            <w:tcW w:type="dxa" w:w="2615"/>
            <w:vAlign w:val="top"/>
          </w:tcPr>
          <w:p>
            <w:pPr>
              <w:spacing w:after="80" w:before="60" w:line="276" w:lineRule="auto"/>
            </w:pPr>
            <w:r>
              <w:rPr>
                <w:sz w:val="16"/>
              </w:rPr>
              <w:t>InnoLight组合、Eoptolink OIF展示、Accelink年报。</w:t>
            </w:r>
            <w:hyperlink r:id="rId100">
              <w:r>
                <w:rPr>
                  <w:color w:val="4338CA"/>
                </w:rPr>
                <w:t>[N048]</w:t>
              </w:r>
            </w:hyperlink>
            <w:hyperlink r:id="rId101">
              <w:r>
                <w:rPr>
                  <w:color w:val="4338CA"/>
                </w:rPr>
                <w:t>[N049]</w:t>
              </w:r>
            </w:hyperlink>
            <w:hyperlink r:id="rId139">
              <w:r>
                <w:rPr>
                  <w:color w:val="4338CA"/>
                </w:rPr>
                <w:t>[N076]</w:t>
              </w:r>
            </w:hyperlink>
          </w:p>
        </w:tc>
      </w:tr>
      <w:tr>
        <w:trPr>
          <w:cantSplit/>
        </w:trPr>
        <w:tc>
          <w:tcPr>
            <w:tcW w:type="dxa" w:w="697"/>
            <w:vAlign w:val="top"/>
          </w:tcPr>
          <w:p>
            <w:pPr>
              <w:spacing w:after="80" w:before="60" w:line="276" w:lineRule="auto"/>
            </w:pPr>
            <w:r>
              <w:rPr>
                <w:sz w:val="16"/>
              </w:rPr>
              <w:t>optical I/O</w:t>
            </w:r>
          </w:p>
        </w:tc>
        <w:tc>
          <w:tcPr>
            <w:tcW w:type="dxa" w:w="2216"/>
            <w:vAlign w:val="top"/>
          </w:tcPr>
          <w:p>
            <w:pPr>
              <w:spacing w:after="80" w:before="60" w:line="276" w:lineRule="auto"/>
            </w:pPr>
            <w:r>
              <w:rPr>
                <w:sz w:val="16"/>
              </w:rPr>
              <w:t>Ayar Labs；Intel研发/演示</w:t>
            </w:r>
          </w:p>
        </w:tc>
        <w:tc>
          <w:tcPr>
            <w:tcW w:type="dxa" w:w="2615"/>
            <w:vAlign w:val="top"/>
          </w:tcPr>
          <w:p>
            <w:pPr>
              <w:spacing w:after="80" w:before="60" w:line="276" w:lineRule="auto"/>
            </w:pPr>
            <w:r>
              <w:rPr>
                <w:sz w:val="16"/>
              </w:rPr>
              <w:t>SILITH有平台展示；台湾设计/封装生态需按项目核查</w:t>
            </w:r>
          </w:p>
        </w:tc>
        <w:tc>
          <w:tcPr>
            <w:tcW w:type="dxa" w:w="1749"/>
            <w:vAlign w:val="top"/>
          </w:tcPr>
          <w:p>
            <w:pPr>
              <w:spacing w:after="80" w:before="60" w:line="276" w:lineRule="auto"/>
            </w:pPr>
            <w:r>
              <w:rPr>
                <w:sz w:val="16"/>
              </w:rPr>
              <w:t>标准/代工生态横跨区域</w:t>
            </w:r>
          </w:p>
        </w:tc>
        <w:tc>
          <w:tcPr>
            <w:tcW w:type="dxa" w:w="2615"/>
            <w:vAlign w:val="top"/>
          </w:tcPr>
          <w:p>
            <w:pPr>
              <w:spacing w:after="80" w:before="60" w:line="276" w:lineRule="auto"/>
            </w:pPr>
            <w:r>
              <w:rPr>
                <w:sz w:val="16"/>
              </w:rPr>
              <w:t>光IO组件、展示、可规模采用是分开的证据层级。</w:t>
            </w:r>
            <w:hyperlink r:id="rId110">
              <w:r>
                <w:rPr>
                  <w:color w:val="4338CA"/>
                </w:rPr>
                <w:t>[N037]</w:t>
              </w:r>
            </w:hyperlink>
            <w:hyperlink r:id="rId140">
              <w:r>
                <w:rPr>
                  <w:color w:val="4338CA"/>
                </w:rPr>
                <w:t>[N038]</w:t>
              </w:r>
            </w:hyperlink>
            <w:hyperlink r:id="rId141">
              <w:r>
                <w:rPr>
                  <w:color w:val="4338CA"/>
                </w:rPr>
                <w:t>[N079]</w:t>
              </w:r>
            </w:hyperlink>
            <w:hyperlink r:id="rId142">
              <w:r>
                <w:rPr>
                  <w:color w:val="4338CA"/>
                </w:rPr>
                <w:t>[N080]</w:t>
              </w:r>
            </w:hyperlink>
          </w:p>
        </w:tc>
      </w:tr>
      <w:tr>
        <w:trPr>
          <w:cantSplit/>
        </w:trPr>
        <w:tc>
          <w:tcPr>
            <w:tcW w:type="dxa" w:w="697"/>
            <w:vAlign w:val="top"/>
          </w:tcPr>
          <w:p>
            <w:pPr>
              <w:spacing w:after="80" w:before="60" w:line="276" w:lineRule="auto"/>
            </w:pPr>
            <w:r>
              <w:rPr>
                <w:sz w:val="16"/>
              </w:rPr>
              <w:t>硅光代工</w:t>
            </w:r>
          </w:p>
        </w:tc>
        <w:tc>
          <w:tcPr>
            <w:tcW w:type="dxa" w:w="2216"/>
            <w:vAlign w:val="top"/>
          </w:tcPr>
          <w:p>
            <w:pPr>
              <w:spacing w:after="80" w:before="60" w:line="276" w:lineRule="auto"/>
            </w:pPr>
            <w:r>
              <w:rPr>
                <w:sz w:val="16"/>
              </w:rPr>
              <w:t>GlobalFoundries</w:t>
            </w:r>
          </w:p>
        </w:tc>
        <w:tc>
          <w:tcPr>
            <w:tcW w:type="dxa" w:w="2615"/>
            <w:vAlign w:val="top"/>
          </w:tcPr>
          <w:p>
            <w:pPr>
              <w:spacing w:after="80" w:before="60" w:line="276" w:lineRule="auto"/>
            </w:pPr>
            <w:r>
              <w:rPr>
                <w:sz w:val="16"/>
              </w:rPr>
              <w:t>不把TSMC逻辑制程领先直接等同全部硅光客户采用</w:t>
            </w:r>
          </w:p>
        </w:tc>
        <w:tc>
          <w:tcPr>
            <w:tcW w:type="dxa" w:w="1749"/>
            <w:vAlign w:val="top"/>
          </w:tcPr>
          <w:p>
            <w:pPr>
              <w:spacing w:after="80" w:before="60" w:line="276" w:lineRule="auto"/>
            </w:pPr>
            <w:r>
              <w:rPr>
                <w:sz w:val="16"/>
              </w:rPr>
              <w:t>以色列Tower；比利时imec为研发平台</w:t>
            </w:r>
          </w:p>
        </w:tc>
        <w:tc>
          <w:tcPr>
            <w:tcW w:type="dxa" w:w="2615"/>
            <w:vAlign w:val="top"/>
          </w:tcPr>
          <w:p>
            <w:pPr>
              <w:spacing w:after="80" w:before="60" w:line="276" w:lineRule="auto"/>
            </w:pPr>
            <w:r>
              <w:rPr>
                <w:sz w:val="16"/>
              </w:rPr>
              <w:t>GF/Tower公开PDK与平台；imec研发工艺不当成收入规模。</w:t>
            </w:r>
            <w:hyperlink r:id="rId106">
              <w:r>
                <w:rPr>
                  <w:color w:val="4338CA"/>
                </w:rPr>
                <w:t>[N036]</w:t>
              </w:r>
            </w:hyperlink>
            <w:hyperlink r:id="rId114">
              <w:r>
                <w:rPr>
                  <w:color w:val="4338CA"/>
                </w:rPr>
                <w:t>[N066]</w:t>
              </w:r>
            </w:hyperlink>
            <w:hyperlink r:id="rId116">
              <w:r>
                <w:rPr>
                  <w:color w:val="4338CA"/>
                </w:rPr>
                <w:t>[N067]</w:t>
              </w:r>
            </w:hyperlink>
          </w:p>
        </w:tc>
      </w:tr>
      <w:tr>
        <w:trPr>
          <w:cantSplit/>
        </w:trPr>
        <w:tc>
          <w:tcPr>
            <w:tcW w:type="dxa" w:w="697"/>
            <w:vAlign w:val="top"/>
          </w:tcPr>
          <w:p>
            <w:pPr>
              <w:spacing w:after="80" w:before="60" w:line="276" w:lineRule="auto"/>
            </w:pPr>
            <w:r>
              <w:rPr>
                <w:sz w:val="16"/>
              </w:rPr>
              <w:t>工程衬底/材料</w:t>
            </w:r>
          </w:p>
        </w:tc>
        <w:tc>
          <w:tcPr>
            <w:tcW w:type="dxa" w:w="2216"/>
            <w:vAlign w:val="top"/>
          </w:tcPr>
          <w:p>
            <w:pPr>
              <w:spacing w:after="80" w:before="60" w:line="276" w:lineRule="auto"/>
            </w:pPr>
            <w:r>
              <w:rPr>
                <w:sz w:val="16"/>
              </w:rPr>
              <w:t>Coherent含化合物与磁光材料能力</w:t>
            </w:r>
          </w:p>
        </w:tc>
        <w:tc>
          <w:tcPr>
            <w:tcW w:type="dxa" w:w="2615"/>
            <w:vAlign w:val="top"/>
          </w:tcPr>
          <w:p>
            <w:pPr>
              <w:spacing w:after="80" w:before="60" w:line="276" w:lineRule="auto"/>
            </w:pPr>
            <w:r>
              <w:rPr>
                <w:sz w:val="16"/>
              </w:rPr>
              <w:t>需要分晶体、外延、器件和贸易来源核查</w:t>
            </w:r>
          </w:p>
        </w:tc>
        <w:tc>
          <w:tcPr>
            <w:tcW w:type="dxa" w:w="1749"/>
            <w:vAlign w:val="top"/>
          </w:tcPr>
          <w:p>
            <w:pPr>
              <w:spacing w:after="80" w:before="60" w:line="276" w:lineRule="auto"/>
            </w:pPr>
            <w:r>
              <w:rPr>
                <w:sz w:val="16"/>
              </w:rPr>
              <w:t>法国Soitec Photonics-SOI；日本住友相关材料能力</w:t>
            </w:r>
          </w:p>
        </w:tc>
        <w:tc>
          <w:tcPr>
            <w:tcW w:type="dxa" w:w="2615"/>
            <w:vAlign w:val="top"/>
          </w:tcPr>
          <w:p>
            <w:pPr>
              <w:spacing w:after="80" w:before="60" w:line="276" w:lineRule="auto"/>
            </w:pPr>
            <w:r>
              <w:rPr>
                <w:sz w:val="16"/>
              </w:rPr>
              <w:t>仅材料平台/产品证据，未审各厂库存与客户供货表。</w:t>
            </w:r>
            <w:hyperlink r:id="rId111">
              <w:r>
                <w:rPr>
                  <w:color w:val="4338CA"/>
                </w:rPr>
                <w:t>[N039]</w:t>
              </w:r>
            </w:hyperlink>
            <w:hyperlink r:id="rId80">
              <w:r>
                <w:rPr>
                  <w:color w:val="4338CA"/>
                </w:rPr>
                <w:t>[N050]</w:t>
              </w:r>
            </w:hyperlink>
            <w:hyperlink r:id="rId115">
              <w:r>
                <w:rPr>
                  <w:color w:val="4338CA"/>
                </w:rPr>
                <w:t>[N068]</w:t>
              </w:r>
            </w:hyperlink>
            <w:hyperlink r:id="rId118">
              <w:r>
                <w:rPr>
                  <w:color w:val="4338CA"/>
                </w:rPr>
                <w:t>[N069]</w:t>
              </w:r>
            </w:hyperlink>
          </w:p>
        </w:tc>
      </w:tr>
      <w:tr>
        <w:trPr>
          <w:cantSplit/>
        </w:trPr>
        <w:tc>
          <w:tcPr>
            <w:tcW w:type="dxa" w:w="697"/>
            <w:vAlign w:val="top"/>
          </w:tcPr>
          <w:p>
            <w:pPr>
              <w:spacing w:after="80" w:before="60" w:line="276" w:lineRule="auto"/>
            </w:pPr>
            <w:r>
              <w:rPr>
                <w:sz w:val="16"/>
              </w:rPr>
              <w:t>光纤/插芯/连接</w:t>
            </w:r>
          </w:p>
        </w:tc>
        <w:tc>
          <w:tcPr>
            <w:tcW w:type="dxa" w:w="2216"/>
            <w:vAlign w:val="top"/>
          </w:tcPr>
          <w:p>
            <w:pPr>
              <w:spacing w:after="80" w:before="60" w:line="276" w:lineRule="auto"/>
            </w:pPr>
            <w:r>
              <w:rPr>
                <w:sz w:val="16"/>
              </w:rPr>
              <w:t>Corning</w:t>
            </w:r>
          </w:p>
        </w:tc>
        <w:tc>
          <w:tcPr>
            <w:tcW w:type="dxa" w:w="2615"/>
            <w:vAlign w:val="top"/>
          </w:tcPr>
          <w:p>
            <w:pPr>
              <w:spacing w:after="80" w:before="60" w:line="276" w:lineRule="auto"/>
            </w:pPr>
            <w:r>
              <w:rPr>
                <w:sz w:val="16"/>
              </w:rPr>
              <w:t>长飞：预端接干线与高密度布线；亨通：棒纤缆与光网络解决方案</w:t>
            </w:r>
          </w:p>
        </w:tc>
        <w:tc>
          <w:tcPr>
            <w:tcW w:type="dxa" w:w="1749"/>
            <w:vAlign w:val="top"/>
          </w:tcPr>
          <w:p>
            <w:pPr>
              <w:spacing w:after="80" w:before="60" w:line="276" w:lineRule="auto"/>
            </w:pPr>
            <w:r>
              <w:rPr>
                <w:sz w:val="16"/>
              </w:rPr>
              <w:t>日本住友/古河；意大利Prysmian</w:t>
            </w:r>
          </w:p>
        </w:tc>
        <w:tc>
          <w:tcPr>
            <w:tcW w:type="dxa" w:w="2615"/>
            <w:vAlign w:val="top"/>
          </w:tcPr>
          <w:p>
            <w:pPr>
              <w:spacing w:after="80" w:before="60" w:line="276" w:lineRule="auto"/>
            </w:pPr>
            <w:r>
              <w:rPr>
                <w:sz w:val="16"/>
              </w:rPr>
              <w:t>光缆、连接器、光模块是不同产品和收入层级，不能重复计算。</w:t>
            </w:r>
            <w:hyperlink r:id="rId79">
              <w:r>
                <w:rPr>
                  <w:color w:val="4338CA"/>
                </w:rPr>
                <w:t>[N045]</w:t>
              </w:r>
            </w:hyperlink>
            <w:hyperlink r:id="rId80">
              <w:r>
                <w:rPr>
                  <w:color w:val="4338CA"/>
                </w:rPr>
                <w:t>[N050]</w:t>
              </w:r>
            </w:hyperlink>
            <w:hyperlink r:id="rId81">
              <w:r>
                <w:rPr>
                  <w:color w:val="4338CA"/>
                </w:rPr>
                <w:t>[N051]</w:t>
              </w:r>
            </w:hyperlink>
            <w:hyperlink r:id="rId65">
              <w:r>
                <w:rPr>
                  <w:color w:val="4338CA"/>
                </w:rPr>
                <w:t>[N060]</w:t>
              </w:r>
            </w:hyperlink>
            <w:hyperlink r:id="rId143">
              <w:r>
                <w:rPr>
                  <w:color w:val="4338CA"/>
                </w:rPr>
                <w:t>[R046]</w:t>
              </w:r>
            </w:hyperlink>
            <w:hyperlink r:id="rId144">
              <w:r>
                <w:rPr>
                  <w:color w:val="4338CA"/>
                </w:rPr>
                <w:t>[R047]</w:t>
              </w:r>
            </w:hyperlink>
            <w:hyperlink r:id="rId145">
              <w:r>
                <w:rPr>
                  <w:color w:val="4338CA"/>
                </w:rPr>
                <w:t>[R048]</w:t>
              </w:r>
            </w:hyperlink>
          </w:p>
        </w:tc>
      </w:tr>
      <w:tr>
        <w:trPr>
          <w:cantSplit/>
        </w:trPr>
        <w:tc>
          <w:tcPr>
            <w:tcW w:type="dxa" w:w="697"/>
            <w:vAlign w:val="top"/>
          </w:tcPr>
          <w:p>
            <w:pPr>
              <w:spacing w:after="80" w:before="60" w:line="276" w:lineRule="auto"/>
            </w:pPr>
            <w:r>
              <w:rPr>
                <w:sz w:val="16"/>
              </w:rPr>
              <w:t>装配与对准</w:t>
            </w:r>
          </w:p>
        </w:tc>
        <w:tc>
          <w:tcPr>
            <w:tcW w:type="dxa" w:w="2216"/>
            <w:vAlign w:val="top"/>
          </w:tcPr>
          <w:p>
            <w:pPr>
              <w:spacing w:after="80" w:before="60" w:line="276" w:lineRule="auto"/>
            </w:pPr>
            <w:r>
              <w:rPr>
                <w:sz w:val="16"/>
              </w:rPr>
              <w:t>FormFactor/Keysight与伙伴组成测试体系</w:t>
            </w:r>
          </w:p>
        </w:tc>
        <w:tc>
          <w:tcPr>
            <w:tcW w:type="dxa" w:w="2615"/>
            <w:vAlign w:val="top"/>
          </w:tcPr>
          <w:p>
            <w:pPr>
              <w:spacing w:after="80" w:before="60" w:line="276" w:lineRule="auto"/>
            </w:pPr>
            <w:r>
              <w:rPr>
                <w:sz w:val="16"/>
              </w:rPr>
              <w:t>罗博特科相关ficonTEC业务需合并口径核查</w:t>
            </w:r>
          </w:p>
        </w:tc>
        <w:tc>
          <w:tcPr>
            <w:tcW w:type="dxa" w:w="1749"/>
            <w:vAlign w:val="top"/>
          </w:tcPr>
          <w:p>
            <w:pPr>
              <w:spacing w:after="80" w:before="60" w:line="276" w:lineRule="auto"/>
            </w:pPr>
            <w:r>
              <w:rPr>
                <w:sz w:val="16"/>
              </w:rPr>
              <w:t>德国ficonTEC；PI精密运动/对准</w:t>
            </w:r>
          </w:p>
        </w:tc>
        <w:tc>
          <w:tcPr>
            <w:tcW w:type="dxa" w:w="2615"/>
            <w:vAlign w:val="top"/>
          </w:tcPr>
          <w:p>
            <w:pPr>
              <w:spacing w:after="80" w:before="60" w:line="276" w:lineRule="auto"/>
            </w:pPr>
            <w:r>
              <w:rPr>
                <w:sz w:val="16"/>
              </w:rPr>
              <w:t>多轴设备类别有竞争，不给独家结论。</w:t>
            </w:r>
            <w:hyperlink r:id="rId121">
              <w:r>
                <w:rPr>
                  <w:color w:val="4338CA"/>
                </w:rPr>
                <w:t>[N042]</w:t>
              </w:r>
            </w:hyperlink>
            <w:hyperlink r:id="rId122">
              <w:r>
                <w:rPr>
                  <w:color w:val="4338CA"/>
                </w:rPr>
                <w:t>[N043]</w:t>
              </w:r>
            </w:hyperlink>
            <w:hyperlink r:id="rId120">
              <w:r>
                <w:rPr>
                  <w:color w:val="4338CA"/>
                </w:rPr>
                <w:t>[N044]</w:t>
              </w:r>
            </w:hyperlink>
            <w:hyperlink r:id="rId146">
              <w:r>
                <w:rPr>
                  <w:color w:val="4338CA"/>
                </w:rPr>
                <w:t>[N078]</w:t>
              </w:r>
            </w:hyperlink>
          </w:p>
        </w:tc>
      </w:tr>
      <w:tr>
        <w:trPr>
          <w:cantSplit/>
        </w:trPr>
        <w:tc>
          <w:tcPr>
            <w:tcW w:type="dxa" w:w="697"/>
            <w:vAlign w:val="top"/>
          </w:tcPr>
          <w:p>
            <w:pPr>
              <w:spacing w:after="80" w:before="60" w:line="276" w:lineRule="auto"/>
            </w:pPr>
            <w:r>
              <w:rPr>
                <w:sz w:val="16"/>
              </w:rPr>
              <w:t>外延装备</w:t>
            </w:r>
          </w:p>
        </w:tc>
        <w:tc>
          <w:tcPr>
            <w:tcW w:type="dxa" w:w="2216"/>
            <w:vAlign w:val="top"/>
          </w:tcPr>
          <w:p>
            <w:pPr>
              <w:spacing w:after="80" w:before="60" w:line="276" w:lineRule="auto"/>
            </w:pPr>
            <w:r>
              <w:rPr>
                <w:sz w:val="16"/>
              </w:rPr>
              <w:t>不以美国设备大厂列表替代激光外延专用机核查</w:t>
            </w:r>
          </w:p>
        </w:tc>
        <w:tc>
          <w:tcPr>
            <w:tcW w:type="dxa" w:w="2615"/>
            <w:vAlign w:val="top"/>
          </w:tcPr>
          <w:p>
            <w:pPr>
              <w:spacing w:after="80" w:before="60" w:line="276" w:lineRule="auto"/>
            </w:pPr>
            <w:r>
              <w:rPr>
                <w:sz w:val="16"/>
              </w:rPr>
              <w:t>国产化水平需看InP/GaAs具体工艺和客户验收</w:t>
            </w:r>
          </w:p>
        </w:tc>
        <w:tc>
          <w:tcPr>
            <w:tcW w:type="dxa" w:w="1749"/>
            <w:vAlign w:val="top"/>
          </w:tcPr>
          <w:p>
            <w:pPr>
              <w:spacing w:after="80" w:before="60" w:line="276" w:lineRule="auto"/>
            </w:pPr>
            <w:r>
              <w:rPr>
                <w:sz w:val="16"/>
              </w:rPr>
              <w:t>德国AIXTRON MOCVD</w:t>
            </w:r>
          </w:p>
        </w:tc>
        <w:tc>
          <w:tcPr>
            <w:tcW w:type="dxa" w:w="2615"/>
            <w:vAlign w:val="top"/>
          </w:tcPr>
          <w:p>
            <w:pPr>
              <w:spacing w:after="80" w:before="60" w:line="276" w:lineRule="auto"/>
            </w:pPr>
            <w:r>
              <w:rPr>
                <w:sz w:val="16"/>
              </w:rPr>
              <w:t>设备功能已核；厂商市占、客户配方与良率未知。</w:t>
            </w:r>
            <w:hyperlink r:id="rId119">
              <w:r>
                <w:rPr>
                  <w:color w:val="4338CA"/>
                </w:rPr>
                <w:t>[N041]</w:t>
              </w:r>
            </w:hyperlink>
          </w:p>
        </w:tc>
      </w:tr>
      <w:tr>
        <w:trPr>
          <w:cantSplit/>
        </w:trPr>
        <w:tc>
          <w:tcPr>
            <w:tcW w:type="dxa" w:w="697"/>
            <w:vAlign w:val="top"/>
          </w:tcPr>
          <w:p>
            <w:pPr>
              <w:spacing w:after="80" w:before="60" w:line="276" w:lineRule="auto"/>
            </w:pPr>
            <w:r>
              <w:rPr>
                <w:sz w:val="16"/>
              </w:rPr>
              <w:t>DCI/光线路</w:t>
            </w:r>
          </w:p>
        </w:tc>
        <w:tc>
          <w:tcPr>
            <w:tcW w:type="dxa" w:w="2216"/>
            <w:vAlign w:val="top"/>
          </w:tcPr>
          <w:p>
            <w:pPr>
              <w:spacing w:after="80" w:before="60" w:line="276" w:lineRule="auto"/>
            </w:pPr>
            <w:r>
              <w:rPr>
                <w:sz w:val="16"/>
              </w:rPr>
              <w:t>Ciena；Marvell DSP；Lumentum组件</w:t>
            </w:r>
          </w:p>
        </w:tc>
        <w:tc>
          <w:tcPr>
            <w:tcW w:type="dxa" w:w="2615"/>
            <w:vAlign w:val="top"/>
          </w:tcPr>
          <w:p>
            <w:pPr>
              <w:spacing w:after="80" w:before="60" w:line="276" w:lineRule="auto"/>
            </w:pPr>
            <w:r>
              <w:rPr>
                <w:sz w:val="16"/>
              </w:rPr>
              <w:t>新易盛有800ZR展示；华为光线路另需项目核验</w:t>
            </w:r>
          </w:p>
        </w:tc>
        <w:tc>
          <w:tcPr>
            <w:tcW w:type="dxa" w:w="1749"/>
            <w:vAlign w:val="top"/>
          </w:tcPr>
          <w:p>
            <w:pPr>
              <w:spacing w:after="80" w:before="60" w:line="276" w:lineRule="auto"/>
            </w:pPr>
            <w:r>
              <w:rPr>
                <w:sz w:val="16"/>
              </w:rPr>
              <w:t>其他光传输厂商待补逐产品来源</w:t>
            </w:r>
          </w:p>
        </w:tc>
        <w:tc>
          <w:tcPr>
            <w:tcW w:type="dxa" w:w="2615"/>
            <w:vAlign w:val="top"/>
          </w:tcPr>
          <w:p>
            <w:pPr>
              <w:spacing w:after="80" w:before="60" w:line="276" w:lineRule="auto"/>
            </w:pPr>
            <w:r>
              <w:rPr>
                <w:sz w:val="16"/>
              </w:rPr>
              <w:t>网络系统、DSP、模块、光纤在不同收入层级。</w:t>
            </w:r>
            <w:hyperlink r:id="rId93">
              <w:r>
                <w:rPr>
                  <w:color w:val="4338CA"/>
                </w:rPr>
                <w:t>[N046]</w:t>
              </w:r>
            </w:hyperlink>
            <w:hyperlink r:id="rId101">
              <w:r>
                <w:rPr>
                  <w:color w:val="4338CA"/>
                </w:rPr>
                <w:t>[N049]</w:t>
              </w:r>
            </w:hyperlink>
            <w:hyperlink r:id="rId86">
              <w:r>
                <w:rPr>
                  <w:color w:val="4338CA"/>
                </w:rPr>
                <w:t>[N065]</w:t>
              </w:r>
            </w:hyperlink>
          </w:p>
        </w:tc>
      </w:tr>
    </w:tbl>
    <w:p>
      <w:pPr>
        <w:spacing w:after="0"/>
      </w:pPr>
    </w:p>
    <w:p>
      <w:pPr/>
      <w:r>
        <w:t xml:space="preserve">韩国在本章光互联企业地图中没有获得足以对比的逐产品证据；资料覆盖不足不能视为相关产业能力缺位。电力章节引用 LS ELECTRIC 与 Hyosung 的官方资料，分别是配电产品/服务与电网设备及 SST 展示。</w:t>
      </w:r>
      <w:hyperlink r:id="rId82">
        <w:r>
          <w:rPr>
            <w:color w:val="4338CA"/>
          </w:rPr>
          <w:t>[N071]</w:t>
        </w:r>
      </w:hyperlink>
      <w:hyperlink r:id="rId83">
        <w:r>
          <w:rPr>
            <w:color w:val="4338CA"/>
          </w:rPr>
          <w:t>[N072]</w:t>
        </w:r>
      </w:hyperlink>
    </w:p>
    <w:p>
      <w:pPr>
        <w:pStyle w:val="Heading2"/>
      </w:pPr>
      <w:r>
        <w:t>与 CASPA 对话最相关的五个切口</w:t>
      </w:r>
    </w:p>
    <w:p>
      <w:pPr>
        <w:pStyle w:val="ListBullet"/>
      </w:pPr>
      <w:r>
        <w:rPr>
          <w:b/>
        </w:rPr>
        <w:t xml:space="preserve">Lumentum</w:t>
      </w:r>
      <w:r>
        <w:t>：分开问 EML、CW/外置光源和 OCS。EML 是已存在的器件路径；外置激光源承接硅光/CPO需求；MEMS OCS改变的是网络光路。三者客户验证、BOM价值和收入爬坡不应混算。</w:t>
      </w:r>
      <w:hyperlink r:id="rId103">
        <w:r>
          <w:rPr>
            <w:color w:val="4338CA"/>
          </w:rPr>
          <w:t>[N033]</w:t>
        </w:r>
      </w:hyperlink>
      <w:hyperlink r:id="rId105">
        <w:r>
          <w:rPr>
            <w:color w:val="4338CA"/>
          </w:rPr>
          <w:t>[N034]</w:t>
        </w:r>
      </w:hyperlink>
      <w:hyperlink r:id="rId147">
        <w:r>
          <w:rPr>
            <w:color w:val="4338CA"/>
          </w:rPr>
          <w:t>[N070]</w:t>
        </w:r>
      </w:hyperlink>
    </w:p>
    <w:p>
      <w:pPr>
        <w:pStyle w:val="ListBullet"/>
      </w:pPr>
      <w:r>
        <w:rPr>
          <w:b/>
        </w:rPr>
        <w:t>Ayar Labs</w:t>
      </w:r>
      <w:r>
        <w:t>：问TeraPHY与SuperNova的系统边界、计算封装接口、光源配置和客户部署阶段。官网能支持其完整光IO组件体系，不能替代客户对训练吞吐或单位成本的验收。</w:t>
      </w:r>
      <w:hyperlink r:id="rId141">
        <w:r>
          <w:rPr>
            <w:color w:val="4338CA"/>
          </w:rPr>
          <w:t>[N079]</w:t>
        </w:r>
      </w:hyperlink>
    </w:p>
    <w:p>
      <w:pPr>
        <w:pStyle w:val="ListBullet"/>
      </w:pPr>
      <w:r>
        <w:rPr>
          <w:b/>
        </w:rPr>
        <w:t>Semtech</w:t>
      </w:r>
      <w:r>
        <w:t>：问200G/lane TIA/driver、LPO的模拟链路与主机SerDes适配、ACC延长铜链路的条件。它在这些链路中的位置是信号完整性芯片，不能简单套“激光器涨价”逻辑。</w:t>
      </w:r>
      <w:hyperlink r:id="rId99">
        <w:r>
          <w:rPr>
            <w:color w:val="4338CA"/>
          </w:rPr>
          <w:t>[N030]</w:t>
        </w:r>
      </w:hyperlink>
      <w:hyperlink r:id="rId97">
        <w:r>
          <w:rPr>
            <w:color w:val="4338CA"/>
          </w:rPr>
          <w:t>[N031]</w:t>
        </w:r>
      </w:hyperlink>
    </w:p>
    <w:p>
      <w:pPr>
        <w:pStyle w:val="ListBullet"/>
      </w:pPr>
      <w:r>
        <w:rPr>
          <w:b/>
        </w:rPr>
        <w:t>Credo</w:t>
      </w:r>
      <w:r>
        <w:t>：问AEC、光DSP、retimer与SerDes IP各自收入和产品周期；大集群更关心持续链路稳定及故障定位，而不只是一次跑满端口。公开产品组合可核，具体客户经济效果仍需客户证据。</w:t>
      </w:r>
      <w:hyperlink r:id="rId98">
        <w:r>
          <w:rPr>
            <w:color w:val="4338CA"/>
          </w:rPr>
          <w:t>[N089]</w:t>
        </w:r>
      </w:hyperlink>
    </w:p>
    <w:p>
      <w:pPr>
        <w:pStyle w:val="ListBullet"/>
      </w:pPr>
      <w:r>
        <w:rPr>
          <w:b/>
        </w:rPr>
        <w:t>SILITH</w:t>
      </w:r>
      <w:r>
        <w:t xml:space="preserve">：2026-03-18的官方摘要称OFC展示400G/lane硅光收发构件；现有证据范围限于该摘要。因此现场重点是索取演示条件、完整数据、样品/量产时间、制造/封装伙伴和客户验证；本报告不把它写成量产事实。</w:t>
      </w:r>
      <w:hyperlink r:id="rId140">
        <w:r>
          <w:rPr>
            <w:color w:val="4338CA"/>
          </w:rPr>
          <w:t>[N038]</w:t>
        </w:r>
      </w:hyperlink>
    </w:p>
    <w:p>
      <w:pPr>
        <w:pStyle w:val="Heading2"/>
      </w:pPr>
      <w:r>
        <w:t>OCS 是另一个容易漏掉的组件层</w:t>
      </w:r>
    </w:p>
    <w:p>
      <w:pPr/>
      <w:r>
        <w:rPr>
          <w:b/>
        </w:rPr>
        <w:t>补充一个材料到器件的可验证案例：源杰。</w:t>
      </w:r>
      <w:r>
        <w:t xml:space="preserve"> 2026 半年报区分 CW 70/100mW 持续大批量交付、100G PAM4 EML 批量出货，以及 200G PAM4 EML 客户验证中。工艺讨论涉及 EML 异质外延对接、量子阱分别设计、寄生电容及高湿可靠性所需的钝化/镀膜；这是公司披露的技术难点，不能直接当成无竞争的护城河。应继续验证各代良率、认证转批量与毛利现金流，而非把全部新型号算入当期量产收入。</w:t>
      </w:r>
      <w:hyperlink r:id="rId148">
        <w:r>
          <w:rPr>
            <w:color w:val="4338CA"/>
          </w:rPr>
          <w:t>[R064]</w:t>
        </w:r>
      </w:hyperlink>
    </w:p>
    <w:p>
      <w:pPr/>
      <w:r>
        <w:t>天孚 2026 半年报则将无源、有源与光模块代工组合，并列出 FAU、多通道光引擎封装、高密度互连与 ELS 方案。它说明产业角色可以横跨部件与制造服务；财务分析须拆产品/工艺和客户，不应把“无源器件”标签套给集团所有业务。</w:t>
      </w:r>
      <w:hyperlink r:id="rId149">
        <w:r>
          <w:rPr>
            <w:color w:val="4338CA"/>
          </w:rPr>
          <w:t>[R065]</w:t>
        </w:r>
      </w:hyperlink>
    </w:p>
    <w:p>
      <w:pPr/>
      <w:r>
        <w:t>Lumentum R300 的MEMS阵列在端点间建立光路，以减少中间OEO转换；它与逐包解析/转发的以太网交换ASIC承担不同功能。产品页面提供300×300端口框架，但实际网络仍需控制光路配置、故障切换和流量调度，端口数量不能直接换算成同数量GPU集群吞吐。</w:t>
      </w:r>
      <w:hyperlink r:id="rId147">
        <w:r>
          <w:rPr>
            <w:color w:val="4338CA"/>
          </w:rPr>
          <w:t>[N070]</w:t>
        </w:r>
      </w:hyperlink>
    </w:p>
    <w:p>
      <w:pPr/>
      <w:r>
        <w:rPr>
          <w:b/>
        </w:rPr>
        <w:t>推论：</w:t>
      </w:r>
      <w:r>
        <w:t xml:space="preserve"> OCS的价值取决于通信图是否可组织、连接重配开销与任务阶段是否匹配；灵活性、控制软件和调度可能与镜面制造同样重要。应要求客户级拓扑与作业完成时间对比，避免只比较交换设备本体瓦数。</w:t>
      </w:r>
      <w:hyperlink r:id="rId147">
        <w:r>
          <w:rPr>
            <w:color w:val="4338CA"/>
          </w:rPr>
          <w:t>[N070]</w:t>
        </w:r>
      </w:hyperlink>
      <w:hyperlink r:id="rId39">
        <w:r>
          <w:rPr>
            <w:color w:val="4338CA"/>
          </w:rPr>
          <w:t>[N022]</w:t>
        </w:r>
      </w:hyperlink>
    </w:p>
    <w:p>
      <w:pPr>
        <w:pStyle w:val="Heading2"/>
      </w:pPr>
      <w:r>
        <w:t>将“瓶颈”拆成六种可验证命题</w:t>
      </w:r>
    </w:p>
    <w:tbl>
      <w:tblPr>
        <w:tblW w:type="auto" w:w="0"/>
        <w:jc w:val="center"/>
        <w:tblLayout w:type="fixed"/>
        <w:tblLook w:firstColumn="1" w:firstRow="1" w:lastColumn="0" w:lastRow="0" w:noHBand="0" w:noVBand="1" w:val="04A0"/>
      </w:tblPr>
      <w:tblGrid>
        <w:gridCol w:w="1249"/>
        <w:gridCol w:w="2265"/>
        <w:gridCol w:w="2215"/>
        <w:gridCol w:w="2332"/>
        <w:gridCol w:w="1832"/>
      </w:tblGrid>
      <w:tr>
        <w:trPr>
          <w:tblHeader/>
        </w:trPr>
        <w:tc>
          <w:tcPr>
            <w:tcW w:type="dxa" w:w="1249"/>
            <w:vAlign w:val="top"/>
            <w:shd w:fill="E0E7FF"/>
          </w:tcPr>
          <w:p>
            <w:pPr>
              <w:spacing w:after="80" w:before="60" w:line="276" w:lineRule="auto"/>
            </w:pPr>
            <w:r>
              <w:rPr>
                <w:b/>
                <w:sz w:val="16"/>
              </w:rPr>
              <w:t>命题</w:t>
            </w:r>
          </w:p>
        </w:tc>
        <w:tc>
          <w:tcPr>
            <w:tcW w:type="dxa" w:w="2265"/>
            <w:vAlign w:val="top"/>
            <w:shd w:fill="E0E7FF"/>
          </w:tcPr>
          <w:p>
            <w:pPr>
              <w:spacing w:after="80" w:before="60" w:line="276" w:lineRule="auto"/>
            </w:pPr>
            <w:r>
              <w:rPr>
                <w:b/>
                <w:sz w:val="16"/>
              </w:rPr>
              <w:t>为什么可能成立</w:t>
            </w:r>
          </w:p>
        </w:tc>
        <w:tc>
          <w:tcPr>
            <w:tcW w:type="dxa" w:w="2215"/>
            <w:vAlign w:val="top"/>
            <w:shd w:fill="E0E7FF"/>
          </w:tcPr>
          <w:p>
            <w:pPr>
              <w:spacing w:after="80" w:before="60" w:line="276" w:lineRule="auto"/>
            </w:pPr>
            <w:r>
              <w:rPr>
                <w:b/>
                <w:sz w:val="16"/>
              </w:rPr>
              <w:t>最有价值的验证</w:t>
            </w:r>
          </w:p>
        </w:tc>
        <w:tc>
          <w:tcPr>
            <w:tcW w:type="dxa" w:w="2332"/>
            <w:vAlign w:val="top"/>
            <w:shd w:fill="E0E7FF"/>
          </w:tcPr>
          <w:p>
            <w:pPr>
              <w:spacing w:after="80" w:before="60" w:line="276" w:lineRule="auto"/>
            </w:pPr>
            <w:r>
              <w:rPr>
                <w:b/>
                <w:sz w:val="16"/>
              </w:rPr>
              <w:t>可能推翻它的证据</w:t>
            </w:r>
          </w:p>
        </w:tc>
        <w:tc>
          <w:tcPr>
            <w:tcW w:type="dxa" w:w="1832"/>
            <w:vAlign w:val="top"/>
            <w:shd w:fill="E0E7FF"/>
          </w:tcPr>
          <w:p>
            <w:pPr>
              <w:spacing w:after="80" w:before="60" w:line="276" w:lineRule="auto"/>
            </w:pPr>
            <w:r>
              <w:rPr>
                <w:b/>
                <w:sz w:val="16"/>
              </w:rPr>
              <w:t>依据</w:t>
            </w:r>
          </w:p>
        </w:tc>
      </w:tr>
      <w:tr>
        <w:trPr>
          <w:cantSplit/>
        </w:trPr>
        <w:tc>
          <w:tcPr>
            <w:tcW w:type="dxa" w:w="1249"/>
            <w:vAlign w:val="top"/>
          </w:tcPr>
          <w:p>
            <w:pPr>
              <w:spacing w:after="80" w:before="60" w:line="276" w:lineRule="auto"/>
            </w:pPr>
            <w:r>
              <w:rPr>
                <w:sz w:val="16"/>
              </w:rPr>
              <w:t>光源供应限制光模块扩张</w:t>
            </w:r>
          </w:p>
        </w:tc>
        <w:tc>
          <w:tcPr>
            <w:tcW w:type="dxa" w:w="2265"/>
            <w:vAlign w:val="top"/>
          </w:tcPr>
          <w:p>
            <w:pPr>
              <w:spacing w:after="80" w:before="60" w:line="276" w:lineRule="auto"/>
            </w:pPr>
            <w:r>
              <w:rPr>
                <w:sz w:val="16"/>
              </w:rPr>
              <w:t>更高速率对激光功率、温度、寿命和制造一致性提出要求</w:t>
            </w:r>
          </w:p>
        </w:tc>
        <w:tc>
          <w:tcPr>
            <w:tcW w:type="dxa" w:w="2215"/>
            <w:vAlign w:val="top"/>
          </w:tcPr>
          <w:p>
            <w:pPr>
              <w:spacing w:after="80" w:before="60" w:line="276" w:lineRule="auto"/>
            </w:pPr>
            <w:r>
              <w:rPr>
                <w:sz w:val="16"/>
              </w:rPr>
              <w:t>已认证SKU产能、良率、交期、客户订单/备份供应</w:t>
            </w:r>
          </w:p>
        </w:tc>
        <w:tc>
          <w:tcPr>
            <w:tcW w:type="dxa" w:w="2332"/>
            <w:vAlign w:val="top"/>
          </w:tcPr>
          <w:p>
            <w:pPr>
              <w:spacing w:after="80" w:before="60" w:line="276" w:lineRule="auto"/>
            </w:pPr>
            <w:r>
              <w:rPr>
                <w:sz w:val="16"/>
              </w:rPr>
              <w:t>新厂爬坡、替代方案通过认证、库存与价格转弱</w:t>
            </w:r>
          </w:p>
        </w:tc>
        <w:tc>
          <w:tcPr>
            <w:tcW w:type="dxa" w:w="1832"/>
            <w:vAlign w:val="top"/>
          </w:tcPr>
          <w:p>
            <w:pPr>
              <w:spacing w:after="80" w:before="60" w:line="276" w:lineRule="auto"/>
            </w:pPr>
            <w:hyperlink r:id="rId103">
              <w:r>
                <w:rPr>
                  <w:color w:val="4338CA"/>
                </w:rPr>
                <w:t>[N033]</w:t>
              </w:r>
            </w:hyperlink>
            <w:hyperlink r:id="rId105">
              <w:r>
                <w:rPr>
                  <w:color w:val="4338CA"/>
                </w:rPr>
                <w:t>[N034]</w:t>
              </w:r>
            </w:hyperlink>
            <w:hyperlink r:id="rId150">
              <w:r>
                <w:rPr>
                  <w:color w:val="4338CA"/>
                </w:rPr>
                <w:t>[N035]</w:t>
              </w:r>
            </w:hyperlink>
          </w:p>
        </w:tc>
      </w:tr>
      <w:tr>
        <w:trPr>
          <w:cantSplit/>
        </w:trPr>
        <w:tc>
          <w:tcPr>
            <w:tcW w:type="dxa" w:w="1249"/>
            <w:vAlign w:val="top"/>
          </w:tcPr>
          <w:p>
            <w:pPr>
              <w:spacing w:after="80" w:before="60" w:line="276" w:lineRule="auto"/>
            </w:pPr>
            <w:r>
              <w:rPr>
                <w:sz w:val="16"/>
              </w:rPr>
              <w:t>电子DSP/SerDes决定系统余量</w:t>
            </w:r>
          </w:p>
        </w:tc>
        <w:tc>
          <w:tcPr>
            <w:tcW w:type="dxa" w:w="2265"/>
            <w:vAlign w:val="top"/>
          </w:tcPr>
          <w:p>
            <w:pPr>
              <w:spacing w:after="80" w:before="60" w:line="276" w:lineRule="auto"/>
            </w:pPr>
            <w:r>
              <w:rPr>
                <w:sz w:val="16"/>
              </w:rPr>
              <w:t>高速电通道损耗与均衡影响光电链路</w:t>
            </w:r>
          </w:p>
        </w:tc>
        <w:tc>
          <w:tcPr>
            <w:tcW w:type="dxa" w:w="2215"/>
            <w:vAlign w:val="top"/>
          </w:tcPr>
          <w:p>
            <w:pPr>
              <w:spacing w:after="80" w:before="60" w:line="276" w:lineRule="auto"/>
            </w:pPr>
            <w:r>
              <w:rPr>
                <w:sz w:val="16"/>
              </w:rPr>
              <w:t>同通道长度/温度下BER、功耗、抖动和恢复时间</w:t>
            </w:r>
          </w:p>
        </w:tc>
        <w:tc>
          <w:tcPr>
            <w:tcW w:type="dxa" w:w="2332"/>
            <w:vAlign w:val="top"/>
          </w:tcPr>
          <w:p>
            <w:pPr>
              <w:spacing w:after="80" w:before="60" w:line="276" w:lineRule="auto"/>
            </w:pPr>
            <w:r>
              <w:rPr>
                <w:sz w:val="16"/>
              </w:rPr>
              <w:t>主机SerDes改善、模拟链路满足需求、设计转向</w:t>
            </w:r>
          </w:p>
        </w:tc>
        <w:tc>
          <w:tcPr>
            <w:tcW w:type="dxa" w:w="1832"/>
            <w:vAlign w:val="top"/>
          </w:tcPr>
          <w:p>
            <w:pPr>
              <w:spacing w:after="80" w:before="60" w:line="276" w:lineRule="auto"/>
            </w:pPr>
            <w:hyperlink r:id="rId107">
              <w:r>
                <w:rPr>
                  <w:color w:val="4338CA"/>
                </w:rPr>
                <w:t>[N029]</w:t>
              </w:r>
            </w:hyperlink>
            <w:hyperlink r:id="rId99">
              <w:r>
                <w:rPr>
                  <w:color w:val="4338CA"/>
                </w:rPr>
                <w:t>[N030]</w:t>
              </w:r>
            </w:hyperlink>
            <w:hyperlink r:id="rId86">
              <w:r>
                <w:rPr>
                  <w:color w:val="4338CA"/>
                </w:rPr>
                <w:t>[N065]</w:t>
              </w:r>
            </w:hyperlink>
          </w:p>
        </w:tc>
      </w:tr>
      <w:tr>
        <w:trPr>
          <w:cantSplit/>
        </w:trPr>
        <w:tc>
          <w:tcPr>
            <w:tcW w:type="dxa" w:w="1249"/>
            <w:vAlign w:val="top"/>
          </w:tcPr>
          <w:p>
            <w:pPr>
              <w:spacing w:after="80" w:before="60" w:line="276" w:lineRule="auto"/>
            </w:pPr>
            <w:r>
              <w:rPr>
                <w:sz w:val="16"/>
              </w:rPr>
              <w:t>硅光封装而非晶圆成为限制</w:t>
            </w:r>
          </w:p>
        </w:tc>
        <w:tc>
          <w:tcPr>
            <w:tcW w:type="dxa" w:w="2265"/>
            <w:vAlign w:val="top"/>
          </w:tcPr>
          <w:p>
            <w:pPr>
              <w:spacing w:after="80" w:before="60" w:line="276" w:lineRule="auto"/>
            </w:pPr>
            <w:r>
              <w:rPr>
                <w:sz w:val="16"/>
              </w:rPr>
              <w:t>PIC/EIC/激光/光纤组合需要装配、对准和测试</w:t>
            </w:r>
          </w:p>
        </w:tc>
        <w:tc>
          <w:tcPr>
            <w:tcW w:type="dxa" w:w="2215"/>
            <w:vAlign w:val="top"/>
          </w:tcPr>
          <w:p>
            <w:pPr>
              <w:spacing w:after="80" w:before="60" w:line="276" w:lineRule="auto"/>
            </w:pPr>
            <w:r>
              <w:rPr>
                <w:sz w:val="16"/>
              </w:rPr>
              <w:t>每小时良品、固化漂移、封装终测良率和返修</w:t>
            </w:r>
          </w:p>
        </w:tc>
        <w:tc>
          <w:tcPr>
            <w:tcW w:type="dxa" w:w="2332"/>
            <w:vAlign w:val="top"/>
          </w:tcPr>
          <w:p>
            <w:pPr>
              <w:spacing w:after="80" w:before="60" w:line="276" w:lineRule="auto"/>
            </w:pPr>
            <w:r>
              <w:rPr>
                <w:sz w:val="16"/>
              </w:rPr>
              <w:t>被动对准、可拆卸连接、设计可测性显著降低装配成本</w:t>
            </w:r>
          </w:p>
        </w:tc>
        <w:tc>
          <w:tcPr>
            <w:tcW w:type="dxa" w:w="1832"/>
            <w:vAlign w:val="top"/>
          </w:tcPr>
          <w:p>
            <w:pPr>
              <w:spacing w:after="80" w:before="60" w:line="276" w:lineRule="auto"/>
            </w:pPr>
            <w:hyperlink r:id="rId106">
              <w:r>
                <w:rPr>
                  <w:color w:val="4338CA"/>
                </w:rPr>
                <w:t>[N036]</w:t>
              </w:r>
            </w:hyperlink>
            <w:hyperlink r:id="rId121">
              <w:r>
                <w:rPr>
                  <w:color w:val="4338CA"/>
                </w:rPr>
                <w:t>[N042]</w:t>
              </w:r>
            </w:hyperlink>
            <w:hyperlink r:id="rId146">
              <w:r>
                <w:rPr>
                  <w:color w:val="4338CA"/>
                </w:rPr>
                <w:t>[N078]</w:t>
              </w:r>
            </w:hyperlink>
          </w:p>
        </w:tc>
      </w:tr>
      <w:tr>
        <w:trPr>
          <w:cantSplit/>
        </w:trPr>
        <w:tc>
          <w:tcPr>
            <w:tcW w:type="dxa" w:w="1249"/>
            <w:vAlign w:val="top"/>
          </w:tcPr>
          <w:p>
            <w:pPr>
              <w:spacing w:after="80" w:before="60" w:line="276" w:lineRule="auto"/>
            </w:pPr>
            <w:r>
              <w:rPr>
                <w:sz w:val="16"/>
              </w:rPr>
              <w:t>CPO拉高专业设备内容</w:t>
            </w:r>
          </w:p>
        </w:tc>
        <w:tc>
          <w:tcPr>
            <w:tcW w:type="dxa" w:w="2265"/>
            <w:vAlign w:val="top"/>
          </w:tcPr>
          <w:p>
            <w:pPr>
              <w:spacing w:after="80" w:before="60" w:line="276" w:lineRule="auto"/>
            </w:pPr>
            <w:r>
              <w:rPr>
                <w:sz w:val="16"/>
              </w:rPr>
              <w:t>光引擎贴近大芯片，测试与维修边界改变</w:t>
            </w:r>
          </w:p>
        </w:tc>
        <w:tc>
          <w:tcPr>
            <w:tcW w:type="dxa" w:w="2215"/>
            <w:vAlign w:val="top"/>
          </w:tcPr>
          <w:p>
            <w:pPr>
              <w:spacing w:after="80" w:before="60" w:line="276" w:lineRule="auto"/>
            </w:pPr>
            <w:r>
              <w:rPr>
                <w:sz w:val="16"/>
              </w:rPr>
              <w:t>量产设备订单与客户产线验收、单位端口资本开支</w:t>
            </w:r>
          </w:p>
        </w:tc>
        <w:tc>
          <w:tcPr>
            <w:tcW w:type="dxa" w:w="2332"/>
            <w:vAlign w:val="top"/>
          </w:tcPr>
          <w:p>
            <w:pPr>
              <w:spacing w:after="80" w:before="60" w:line="276" w:lineRule="auto"/>
            </w:pPr>
            <w:r>
              <w:rPr>
                <w:sz w:val="16"/>
              </w:rPr>
              <w:t>CPO量慢、既有设备可升级、设备复用提升</w:t>
            </w:r>
          </w:p>
        </w:tc>
        <w:tc>
          <w:tcPr>
            <w:tcW w:type="dxa" w:w="1832"/>
            <w:vAlign w:val="top"/>
          </w:tcPr>
          <w:p>
            <w:pPr>
              <w:spacing w:after="80" w:before="60" w:line="276" w:lineRule="auto"/>
            </w:pPr>
            <w:hyperlink r:id="rId108">
              <w:r>
                <w:rPr>
                  <w:color w:val="4338CA"/>
                </w:rPr>
                <w:t>[N032]</w:t>
              </w:r>
            </w:hyperlink>
            <w:hyperlink r:id="rId121">
              <w:r>
                <w:rPr>
                  <w:color w:val="4338CA"/>
                </w:rPr>
                <w:t>[N042]</w:t>
              </w:r>
            </w:hyperlink>
            <w:hyperlink r:id="rId120">
              <w:r>
                <w:rPr>
                  <w:color w:val="4338CA"/>
                </w:rPr>
                <w:t>[N044]</w:t>
              </w:r>
            </w:hyperlink>
          </w:p>
        </w:tc>
      </w:tr>
      <w:tr>
        <w:trPr>
          <w:cantSplit/>
        </w:trPr>
        <w:tc>
          <w:tcPr>
            <w:tcW w:type="dxa" w:w="1249"/>
            <w:vAlign w:val="top"/>
          </w:tcPr>
          <w:p>
            <w:pPr>
              <w:spacing w:after="80" w:before="60" w:line="276" w:lineRule="auto"/>
            </w:pPr>
            <w:r>
              <w:rPr>
                <w:sz w:val="16"/>
              </w:rPr>
              <w:t>铜连接保持经济优势</w:t>
            </w:r>
          </w:p>
        </w:tc>
        <w:tc>
          <w:tcPr>
            <w:tcW w:type="dxa" w:w="2265"/>
            <w:vAlign w:val="top"/>
          </w:tcPr>
          <w:p>
            <w:pPr>
              <w:spacing w:after="80" w:before="60" w:line="276" w:lineRule="auto"/>
            </w:pPr>
            <w:r>
              <w:rPr>
                <w:sz w:val="16"/>
              </w:rPr>
              <w:t>短距连接可省光电转换，AEC/ACC改进距离</w:t>
            </w:r>
          </w:p>
        </w:tc>
        <w:tc>
          <w:tcPr>
            <w:tcW w:type="dxa" w:w="2215"/>
            <w:vAlign w:val="top"/>
          </w:tcPr>
          <w:p>
            <w:pPr>
              <w:spacing w:after="80" w:before="60" w:line="276" w:lineRule="auto"/>
            </w:pPr>
            <w:r>
              <w:rPr>
                <w:sz w:val="16"/>
              </w:rPr>
              <w:t>同距离总成本、功耗、线束和稳定性</w:t>
            </w:r>
          </w:p>
        </w:tc>
        <w:tc>
          <w:tcPr>
            <w:tcW w:type="dxa" w:w="2332"/>
            <w:vAlign w:val="top"/>
          </w:tcPr>
          <w:p>
            <w:pPr>
              <w:spacing w:after="80" w:before="60" w:line="276" w:lineRule="auto"/>
            </w:pPr>
            <w:r>
              <w:rPr>
                <w:sz w:val="16"/>
              </w:rPr>
              <w:t>距离/带宽密度越过电预算、布线或散热代价上升</w:t>
            </w:r>
          </w:p>
        </w:tc>
        <w:tc>
          <w:tcPr>
            <w:tcW w:type="dxa" w:w="1832"/>
            <w:vAlign w:val="top"/>
          </w:tcPr>
          <w:p>
            <w:pPr>
              <w:spacing w:after="80" w:before="60" w:line="276" w:lineRule="auto"/>
            </w:pPr>
            <w:hyperlink r:id="rId107">
              <w:r>
                <w:rPr>
                  <w:color w:val="4338CA"/>
                </w:rPr>
                <w:t>[N029]</w:t>
              </w:r>
            </w:hyperlink>
            <w:hyperlink r:id="rId97">
              <w:r>
                <w:rPr>
                  <w:color w:val="4338CA"/>
                </w:rPr>
                <w:t>[N031]</w:t>
              </w:r>
            </w:hyperlink>
          </w:p>
        </w:tc>
      </w:tr>
      <w:tr>
        <w:trPr>
          <w:cantSplit/>
        </w:trPr>
        <w:tc>
          <w:tcPr>
            <w:tcW w:type="dxa" w:w="1249"/>
            <w:vAlign w:val="top"/>
          </w:tcPr>
          <w:p>
            <w:pPr>
              <w:spacing w:after="80" w:before="60" w:line="276" w:lineRule="auto"/>
            </w:pPr>
            <w:r>
              <w:rPr>
                <w:sz w:val="16"/>
              </w:rPr>
              <w:t>高端设备能力带来超额利润</w:t>
            </w:r>
          </w:p>
        </w:tc>
        <w:tc>
          <w:tcPr>
            <w:tcW w:type="dxa" w:w="2265"/>
            <w:vAlign w:val="top"/>
          </w:tcPr>
          <w:p>
            <w:pPr>
              <w:spacing w:after="80" w:before="60" w:line="276" w:lineRule="auto"/>
            </w:pPr>
            <w:r>
              <w:rPr>
                <w:sz w:val="16"/>
              </w:rPr>
              <w:t>失效代价、配方/算法与客户集成可能提高更换成本</w:t>
            </w:r>
          </w:p>
        </w:tc>
        <w:tc>
          <w:tcPr>
            <w:tcW w:type="dxa" w:w="2215"/>
            <w:vAlign w:val="top"/>
          </w:tcPr>
          <w:p>
            <w:pPr>
              <w:spacing w:after="80" w:before="60" w:line="276" w:lineRule="auto"/>
            </w:pPr>
            <w:r>
              <w:rPr>
                <w:sz w:val="16"/>
              </w:rPr>
              <w:t>复购、服务收入、验收周期、价格与毛利现金流</w:t>
            </w:r>
          </w:p>
        </w:tc>
        <w:tc>
          <w:tcPr>
            <w:tcW w:type="dxa" w:w="2332"/>
            <w:vAlign w:val="top"/>
          </w:tcPr>
          <w:p>
            <w:pPr>
              <w:spacing w:after="80" w:before="60" w:line="276" w:lineRule="auto"/>
            </w:pPr>
            <w:r>
              <w:rPr>
                <w:sz w:val="16"/>
              </w:rPr>
              <w:t>客户自制、竞争扩容、议价/集中度、技术替代</w:t>
            </w:r>
          </w:p>
        </w:tc>
        <w:tc>
          <w:tcPr>
            <w:tcW w:type="dxa" w:w="1832"/>
            <w:vAlign w:val="top"/>
          </w:tcPr>
          <w:p>
            <w:pPr>
              <w:spacing w:after="80" w:before="60" w:line="276" w:lineRule="auto"/>
            </w:pPr>
            <w:hyperlink r:id="rId121">
              <w:r>
                <w:rPr>
                  <w:color w:val="4338CA"/>
                </w:rPr>
                <w:t>[N042]</w:t>
              </w:r>
            </w:hyperlink>
            <w:hyperlink r:id="rId122">
              <w:r>
                <w:rPr>
                  <w:color w:val="4338CA"/>
                </w:rPr>
                <w:t>[N043]</w:t>
              </w:r>
            </w:hyperlink>
            <w:hyperlink r:id="rId146">
              <w:r>
                <w:rPr>
                  <w:color w:val="4338CA"/>
                </w:rPr>
                <w:t>[N078]</w:t>
              </w:r>
            </w:hyperlink>
            <w:r>
              <w:rPr>
                <w:sz w:val="16"/>
              </w:rPr>
              <w:t>（本文命题）</w:t>
            </w:r>
          </w:p>
        </w:tc>
      </w:tr>
    </w:tbl>
    <w:p>
      <w:pPr>
        <w:spacing w:after="0"/>
      </w:pPr>
    </w:p>
    <w:p>
      <w:pPr/>
      <w:r>
        <w:t>这里的“可能”是研究假说，不是已经发生的供不应求或买入结论。以高性能演示推断高毛利，以客户名单推断大额收入，都跳过了设备验收、交付、收入确认和现金回收。</w:t>
      </w:r>
      <w:hyperlink r:id="rId61">
        <w:r>
          <w:rPr>
            <w:color w:val="4338CA"/>
          </w:rPr>
          <w:t>[N012]</w:t>
        </w:r>
      </w:hyperlink>
      <w:hyperlink r:id="rId140">
        <w:r>
          <w:rPr>
            <w:color w:val="4338CA"/>
          </w:rPr>
          <w:t>[N038]</w:t>
        </w:r>
      </w:hyperlink>
      <w:hyperlink r:id="rId121">
        <w:r>
          <w:rPr>
            <w:color w:val="4338CA"/>
          </w:rPr>
          <w:t>[N042]</w:t>
        </w:r>
      </w:hyperlink>
      <w:r>
        <w:t>（本文分析方法）</w:t>
      </w:r>
    </w:p>
    <w:p>
      <w:pPr>
        <w:pStyle w:val="Heading2"/>
      </w:pPr>
      <w:r>
        <w:t>用一个模型约束所有设备投资故事</w:t>
      </w:r>
    </w:p>
    <w:p>
      <w:pPr/>
      <w:r>
        <w:t>本文建议按链条建立：</w:t>
      </w:r>
      <w:r>
        <w:rPr>
          <w:b/>
        </w:rPr>
        <w:t>目标架构部署数量×每系统组件数量×单组件价格×供应商份额×可确认收入比例</w:t>
      </w:r>
      <w:r>
        <w:t>。再扣除采购、制造、研发、售后、折旧和营运资本。不是所有系数都能从公开资料取得：没有客户BOM/合约时应保留区间或未知，不把假设包装成市场数据。</w:t>
      </w:r>
    </w:p>
    <w:p>
      <w:pPr/>
      <w:r>
        <w:t>对光装配设备，进一步拆为：</w:t>
      </w:r>
      <w:r>
        <w:rPr>
          <w:b/>
        </w:rPr>
        <w:t>当年新增良品需求÷单机年良品产出</w:t>
      </w:r>
      <w:r>
        <w:t>。年良品产出取决于UPH、工作小时、稼动率、良率和产品切换，而设备收入还取决于ASP、存量设备升级与验收。由此可见，模块数量增长与装配设备收入不必同比例，自动化速度提高也会降低同产量所需设备台数。</w:t>
      </w:r>
      <w:hyperlink r:id="rId121">
        <w:r>
          <w:rPr>
            <w:color w:val="4338CA"/>
          </w:rPr>
          <w:t>[N042]</w:t>
        </w:r>
      </w:hyperlink>
      <w:hyperlink r:id="rId122">
        <w:r>
          <w:rPr>
            <w:color w:val="4338CA"/>
          </w:rPr>
          <w:t>[N043]</w:t>
        </w:r>
      </w:hyperlink>
      <w:hyperlink r:id="rId146">
        <w:r>
          <w:rPr>
            <w:color w:val="4338CA"/>
          </w:rPr>
          <w:t>[N078]</w:t>
        </w:r>
      </w:hyperlink>
      <w:r>
        <w:t>（本文模型）</w:t>
      </w:r>
    </w:p>
    <w:p>
      <w:pPr/>
      <w:r>
        <w:t>对光源/芯片，关注良率和认证；对模块，关注代际ASP下降与客户集中度；对交换平台，关注软件、支持与端口配置；对材料，关注单位含量、纯度/一致性和替代；对数据中心电力，关注并网、交期与工程收入确认。这个拆法使不同公司能沿同一逻辑比较，而不强求用同一估值倍数。</w:t>
      </w:r>
      <w:hyperlink r:id="rId61">
        <w:r>
          <w:rPr>
            <w:color w:val="4338CA"/>
          </w:rPr>
          <w:t>[N012]</w:t>
        </w:r>
      </w:hyperlink>
      <w:hyperlink r:id="rId39">
        <w:r>
          <w:rPr>
            <w:color w:val="4338CA"/>
          </w:rPr>
          <w:t>[N022]</w:t>
        </w:r>
      </w:hyperlink>
      <w:hyperlink r:id="rId103">
        <w:r>
          <w:rPr>
            <w:color w:val="4338CA"/>
          </w:rPr>
          <w:t>[N033]</w:t>
        </w:r>
      </w:hyperlink>
      <w:hyperlink r:id="rId106">
        <w:r>
          <w:rPr>
            <w:color w:val="4338CA"/>
          </w:rPr>
          <w:t>[N036]</w:t>
        </w:r>
      </w:hyperlink>
      <w:hyperlink r:id="rId100">
        <w:r>
          <w:rPr>
            <w:color w:val="4338CA"/>
          </w:rPr>
          <w:t>[N048]</w:t>
        </w:r>
      </w:hyperlink>
      <w:r>
        <w:t>（本文分析框架）</w:t>
      </w:r>
    </w:p>
    <w:p>
      <w:pPr>
        <w:pStyle w:val="Heading2"/>
      </w:pPr>
      <w:r>
        <w:t>论坛信息怎样进入思维框架</w:t>
      </w:r>
    </w:p>
    <w:p>
      <w:pPr/>
      <w:r>
        <w:t>以下补充本模块的论坛案例；统一筛选方法见“社区异议与深入阅读”。</w:t>
      </w:r>
    </w:p>
    <w:p>
      <w:pPr/>
      <w:r>
        <w:t>r/datacenter关于直冷改造的讨论，给出管道净空、余热风冷、二次液体三类具体问题；与OCP的TCS边界、材料兼容和混合冷却定义能相互印证。保留的是问题清单，未采用匿名用户的价格或全行业渗透判断。</w:t>
      </w:r>
      <w:hyperlink r:id="rId84">
        <w:r>
          <w:rPr>
            <w:color w:val="4338CA"/>
          </w:rPr>
          <w:t>[N052]</w:t>
        </w:r>
      </w:hyperlink>
      <w:hyperlink r:id="rId58">
        <w:r>
          <w:rPr>
            <w:color w:val="4338CA"/>
          </w:rPr>
          <w:t>[N010]</w:t>
        </w:r>
      </w:hyperlink>
    </w:p>
    <w:p>
      <w:pPr/>
      <w:r>
        <w:t>r/Semiconductors 的1.6T硅光讨论转述管理层发言，但讨论者对“更有份额”与“已经主导”有不同解释。本文据此保留三种变量：激光技术、模块集成路径、客户/代际混合；未将转述当原始财务口径，也未采用讨论中的份额推断。</w:t>
      </w:r>
      <w:hyperlink r:id="rId151">
        <w:r>
          <w:rPr>
            <w:color w:val="4338CA"/>
          </w:rPr>
          <w:t>[N053]</w:t>
        </w:r>
      </w:hyperlink>
      <w:hyperlink r:id="rId103">
        <w:r>
          <w:rPr>
            <w:color w:val="4338CA"/>
          </w:rPr>
          <w:t>[N033]</w:t>
        </w:r>
      </w:hyperlink>
      <w:hyperlink r:id="rId106">
        <w:r>
          <w:rPr>
            <w:color w:val="4338CA"/>
          </w:rPr>
          <w:t>[N036]</w:t>
        </w:r>
      </w:hyperlink>
    </w:p>
    <w:p>
      <w:pPr>
        <w:pStyle w:val="Heading2"/>
      </w:pPr>
      <w:r>
        <w:t xml:space="preserve">需进一步核实的产业证据</w:t>
      </w:r>
    </w:p>
    <w:p>
      <w:pPr/>
      <w:r>
        <w:t xml:space="preserve">以下项目缺乏充分可比的公开证据：统一条件下的光耦合良率/UPH/MTBF；主要客户完整BOM与认证名单；2026年各CPO平台实际客户验收与数量；SILITH量产与财务表现；关键InP外延、衬底及封装分档良率；韩国光芯片逐产品能力与跨国出口许可影响。代表性企业目录不能代替全部SKU的性能比较。</w:t>
      </w:r>
    </w:p>
    <w:p>
      <w:pPr>
        <w:pStyle w:val="Heading1"/>
        <w:pageBreakBefore/>
      </w:pPr>
      <w:r>
        <w:t>04  从 SRAM 到磁带 AI 的内存与存储全景</w:t>
      </w:r>
    </w:p>
    <w:p>
      <w:pPr>
        <w:pStyle w:val="Heading2"/>
      </w:pPr>
      <w:r>
        <w:t>先按数据距离与任务分层</w:t>
      </w:r>
    </w:p>
    <w:p>
      <w:pPr/>
      <w:r>
        <w:t>选择介质前先问四件事：数据是否正在参与计算；需要多少容量；必须多久取得；丢失后能否重算。HBM、DDR、SSD 与 HDD 的连接位置和工作语义不同，“存储需求增长”不能直接推出所有层级收入同比例增长。</w:t>
      </w:r>
      <w:hyperlink r:id="rId29">
        <w:r>
          <w:rPr>
            <w:color w:val="4338CA"/>
          </w:rPr>
          <w:t>[S026]</w:t>
        </w:r>
      </w:hyperlink>
      <w:hyperlink r:id="rId152">
        <w:r>
          <w:rPr>
            <w:color w:val="4338CA"/>
          </w:rPr>
          <w:t>[S039]</w:t>
        </w:r>
      </w:hyperlink>
      <w:hyperlink r:id="rId153">
        <w:r>
          <w:rPr>
            <w:color w:val="4338CA"/>
          </w:rPr>
          <w:t>[S040]</w:t>
        </w:r>
      </w:hyperlink>
      <w:hyperlink r:id="rId154">
        <w:r>
          <w:rPr>
            <w:color w:val="4338CA"/>
          </w:rPr>
          <w:t>[S041]</w:t>
        </w:r>
      </w:hyperlink>
    </w:p>
    <w:tbl>
      <w:tblPr>
        <w:tblW w:type="auto" w:w="0"/>
        <w:jc w:val="center"/>
        <w:tblLayout w:type="fixed"/>
        <w:tblLook w:firstColumn="1" w:firstRow="1" w:lastColumn="0" w:lastRow="0" w:noHBand="0" w:noVBand="1" w:val="04A0"/>
      </w:tblPr>
      <w:tblGrid>
        <w:gridCol w:w="1187"/>
        <w:gridCol w:w="2788"/>
        <w:gridCol w:w="2180"/>
        <w:gridCol w:w="3738"/>
      </w:tblGrid>
      <w:tr>
        <w:trPr>
          <w:tblHeader/>
        </w:trPr>
        <w:tc>
          <w:tcPr>
            <w:tcW w:type="dxa" w:w="1187"/>
            <w:vAlign w:val="top"/>
            <w:shd w:fill="E0E7FF"/>
          </w:tcPr>
          <w:p>
            <w:pPr>
              <w:spacing w:after="80" w:before="60" w:line="276" w:lineRule="auto"/>
            </w:pPr>
            <w:r>
              <w:rPr>
                <w:b/>
                <w:sz w:val="18"/>
              </w:rPr>
              <w:t>层级</w:t>
            </w:r>
          </w:p>
        </w:tc>
        <w:tc>
          <w:tcPr>
            <w:tcW w:type="dxa" w:w="2788"/>
            <w:vAlign w:val="top"/>
            <w:shd w:fill="E0E7FF"/>
          </w:tcPr>
          <w:p>
            <w:pPr>
              <w:spacing w:after="80" w:before="60" w:line="276" w:lineRule="auto"/>
            </w:pPr>
            <w:r>
              <w:rPr>
                <w:b/>
                <w:sz w:val="18"/>
              </w:rPr>
              <w:t>系统位置与技术</w:t>
            </w:r>
          </w:p>
        </w:tc>
        <w:tc>
          <w:tcPr>
            <w:tcW w:type="dxa" w:w="2180"/>
            <w:vAlign w:val="top"/>
            <w:shd w:fill="E0E7FF"/>
          </w:tcPr>
          <w:p>
            <w:pPr>
              <w:spacing w:after="80" w:before="60" w:line="276" w:lineRule="auto"/>
            </w:pPr>
            <w:r>
              <w:rPr>
                <w:b/>
                <w:sz w:val="18"/>
              </w:rPr>
              <w:t>常见 AI 数据</w:t>
            </w:r>
          </w:p>
        </w:tc>
        <w:tc>
          <w:tcPr>
            <w:tcW w:type="dxa" w:w="3738"/>
            <w:vAlign w:val="top"/>
            <w:shd w:fill="E0E7FF"/>
          </w:tcPr>
          <w:p>
            <w:pPr>
              <w:spacing w:after="80" w:before="60" w:line="276" w:lineRule="auto"/>
            </w:pPr>
            <w:r>
              <w:rPr>
                <w:b/>
                <w:sz w:val="18"/>
              </w:rPr>
              <w:t>约束与验证对象</w:t>
            </w:r>
          </w:p>
        </w:tc>
      </w:tr>
      <w:tr>
        <w:trPr>
          <w:cantSplit/>
        </w:trPr>
        <w:tc>
          <w:tcPr>
            <w:tcW w:type="dxa" w:w="1187"/>
            <w:vAlign w:val="top"/>
          </w:tcPr>
          <w:p>
            <w:pPr>
              <w:spacing w:after="80" w:before="60" w:line="276" w:lineRule="auto"/>
            </w:pPr>
            <w:r>
              <w:rPr>
                <w:sz w:val="18"/>
              </w:rPr>
              <w:t>寄存器、片上 SRAM/cache</w:t>
            </w:r>
          </w:p>
        </w:tc>
        <w:tc>
          <w:tcPr>
            <w:tcW w:type="dxa" w:w="2788"/>
            <w:vAlign w:val="top"/>
          </w:tcPr>
          <w:p>
            <w:pPr>
              <w:spacing w:after="80" w:before="60" w:line="276" w:lineRule="auto"/>
            </w:pPr>
            <w:r>
              <w:rPr>
                <w:sz w:val="18"/>
              </w:rPr>
              <w:t>计算芯片内部；嵌入式 memory IP 与逻辑工艺协同</w:t>
            </w:r>
          </w:p>
        </w:tc>
        <w:tc>
          <w:tcPr>
            <w:tcW w:type="dxa" w:w="2180"/>
            <w:vAlign w:val="top"/>
          </w:tcPr>
          <w:p>
            <w:pPr>
              <w:spacing w:after="80" w:before="60" w:line="276" w:lineRule="auto"/>
            </w:pPr>
            <w:r>
              <w:rPr>
                <w:sz w:val="18"/>
              </w:rPr>
              <w:t>运算中间值、重复利用的块与缓存</w:t>
            </w:r>
          </w:p>
        </w:tc>
        <w:tc>
          <w:tcPr>
            <w:tcW w:type="dxa" w:w="3738"/>
            <w:vAlign w:val="top"/>
          </w:tcPr>
          <w:p>
            <w:pPr>
              <w:spacing w:after="80" w:before="60" w:line="276" w:lineRule="auto"/>
            </w:pPr>
            <w:r>
              <w:rPr>
                <w:sz w:val="18"/>
              </w:rPr>
              <w:t>面积、漏电、读写稳定性、端口数；不能用买 DIMM 的方式增加片上 SRAM。</w:t>
            </w:r>
            <w:hyperlink r:id="rId155">
              <w:r>
                <w:rPr>
                  <w:color w:val="4338CA"/>
                </w:rPr>
                <w:t>[S032]</w:t>
              </w:r>
            </w:hyperlink>
          </w:p>
        </w:tc>
      </w:tr>
      <w:tr>
        <w:trPr>
          <w:cantSplit/>
        </w:trPr>
        <w:tc>
          <w:tcPr>
            <w:tcW w:type="dxa" w:w="1187"/>
            <w:vAlign w:val="top"/>
          </w:tcPr>
          <w:p>
            <w:pPr>
              <w:spacing w:after="80" w:before="60" w:line="276" w:lineRule="auto"/>
            </w:pPr>
            <w:r>
              <w:rPr>
                <w:sz w:val="18"/>
              </w:rPr>
              <w:t>HBM</w:t>
            </w:r>
          </w:p>
        </w:tc>
        <w:tc>
          <w:tcPr>
            <w:tcW w:type="dxa" w:w="2788"/>
            <w:vAlign w:val="top"/>
          </w:tcPr>
          <w:p>
            <w:pPr>
              <w:spacing w:after="80" w:before="60" w:line="276" w:lineRule="auto"/>
            </w:pPr>
            <w:r>
              <w:rPr>
                <w:sz w:val="18"/>
              </w:rPr>
              <w:t>多颗 DRAM die 垂直堆叠，通过宽接口靠近 GPU/ASIC</w:t>
            </w:r>
          </w:p>
        </w:tc>
        <w:tc>
          <w:tcPr>
            <w:tcW w:type="dxa" w:w="2180"/>
            <w:vAlign w:val="top"/>
          </w:tcPr>
          <w:p>
            <w:pPr>
              <w:spacing w:after="80" w:before="60" w:line="276" w:lineRule="auto"/>
            </w:pPr>
            <w:r>
              <w:rPr>
                <w:sz w:val="18"/>
              </w:rPr>
              <w:t>当前参与运算的权重、激活与 KV cache</w:t>
            </w:r>
          </w:p>
        </w:tc>
        <w:tc>
          <w:tcPr>
            <w:tcW w:type="dxa" w:w="3738"/>
            <w:vAlign w:val="top"/>
          </w:tcPr>
          <w:p>
            <w:pPr>
              <w:spacing w:after="80" w:before="60" w:line="276" w:lineRule="auto"/>
            </w:pPr>
            <w:r>
              <w:rPr>
                <w:sz w:val="18"/>
              </w:rPr>
              <w:t>容量、带宽、每 bit 能耗、封装与散热；HBM 仍是 DRAM。</w:t>
            </w:r>
            <w:hyperlink r:id="rId29">
              <w:r>
                <w:rPr>
                  <w:color w:val="4338CA"/>
                </w:rPr>
                <w:t>[S026]</w:t>
              </w:r>
            </w:hyperlink>
            <w:hyperlink r:id="rId156">
              <w:r>
                <w:rPr>
                  <w:color w:val="4338CA"/>
                </w:rPr>
                <w:t>[S028]</w:t>
              </w:r>
            </w:hyperlink>
          </w:p>
        </w:tc>
      </w:tr>
      <w:tr>
        <w:trPr>
          <w:cantSplit/>
        </w:trPr>
        <w:tc>
          <w:tcPr>
            <w:tcW w:type="dxa" w:w="1187"/>
            <w:vAlign w:val="top"/>
          </w:tcPr>
          <w:p>
            <w:pPr>
              <w:spacing w:after="80" w:before="60" w:line="276" w:lineRule="auto"/>
            </w:pPr>
            <w:r>
              <w:rPr>
                <w:sz w:val="18"/>
              </w:rPr>
              <w:t>DDR/LPDDR 主存</w:t>
            </w:r>
          </w:p>
        </w:tc>
        <w:tc>
          <w:tcPr>
            <w:tcW w:type="dxa" w:w="2788"/>
            <w:vAlign w:val="top"/>
          </w:tcPr>
          <w:p>
            <w:pPr>
              <w:spacing w:after="80" w:before="60" w:line="276" w:lineRule="auto"/>
            </w:pPr>
            <w:r>
              <w:rPr>
                <w:sz w:val="18"/>
              </w:rPr>
              <w:t>CPU/系统主存，DIMM 或特定模块/板载形式</w:t>
            </w:r>
          </w:p>
        </w:tc>
        <w:tc>
          <w:tcPr>
            <w:tcW w:type="dxa" w:w="2180"/>
            <w:vAlign w:val="top"/>
          </w:tcPr>
          <w:p>
            <w:pPr>
              <w:spacing w:after="80" w:before="60" w:line="276" w:lineRule="auto"/>
            </w:pPr>
            <w:r>
              <w:rPr>
                <w:sz w:val="18"/>
              </w:rPr>
              <w:t>数据准备、主机程序、可迁移的模型数据</w:t>
            </w:r>
          </w:p>
        </w:tc>
        <w:tc>
          <w:tcPr>
            <w:tcW w:type="dxa" w:w="3738"/>
            <w:vAlign w:val="top"/>
          </w:tcPr>
          <w:p>
            <w:pPr>
              <w:spacing w:after="80" w:before="60" w:line="276" w:lineRule="auto"/>
            </w:pPr>
            <w:r>
              <w:rPr>
                <w:sz w:val="18"/>
              </w:rPr>
              <w:t>通道与插槽、每通道带宽、容量、RAS、功耗。</w:t>
            </w:r>
            <w:hyperlink r:id="rId157">
              <w:r>
                <w:rPr>
                  <w:color w:val="4338CA"/>
                </w:rPr>
                <w:t>[S027]</w:t>
              </w:r>
            </w:hyperlink>
            <w:hyperlink r:id="rId158">
              <w:r>
                <w:rPr>
                  <w:color w:val="4338CA"/>
                </w:rPr>
                <w:t>[S036]</w:t>
              </w:r>
            </w:hyperlink>
          </w:p>
        </w:tc>
      </w:tr>
      <w:tr>
        <w:trPr>
          <w:cantSplit/>
        </w:trPr>
        <w:tc>
          <w:tcPr>
            <w:tcW w:type="dxa" w:w="1187"/>
            <w:vAlign w:val="top"/>
          </w:tcPr>
          <w:p>
            <w:pPr>
              <w:spacing w:after="80" w:before="60" w:line="276" w:lineRule="auto"/>
            </w:pPr>
            <w:r>
              <w:rPr>
                <w:sz w:val="18"/>
              </w:rPr>
              <w:t>CXL 扩展或池化内存</w:t>
            </w:r>
          </w:p>
        </w:tc>
        <w:tc>
          <w:tcPr>
            <w:tcW w:type="dxa" w:w="2788"/>
            <w:vAlign w:val="top"/>
          </w:tcPr>
          <w:p>
            <w:pPr>
              <w:spacing w:after="80" w:before="60" w:line="276" w:lineRule="auto"/>
            </w:pPr>
            <w:r>
              <w:rPr>
                <w:sz w:val="18"/>
              </w:rPr>
              <w:t>主机经 CXL 接入设备内存，采用内存访问语义</w:t>
            </w:r>
          </w:p>
        </w:tc>
        <w:tc>
          <w:tcPr>
            <w:tcW w:type="dxa" w:w="2180"/>
            <w:vAlign w:val="top"/>
          </w:tcPr>
          <w:p>
            <w:pPr>
              <w:spacing w:after="80" w:before="60" w:line="276" w:lineRule="auto"/>
            </w:pPr>
            <w:r>
              <w:rPr>
                <w:sz w:val="18"/>
              </w:rPr>
              <w:t>可分层放置的较冷页面、共享资源池</w:t>
            </w:r>
          </w:p>
        </w:tc>
        <w:tc>
          <w:tcPr>
            <w:tcW w:type="dxa" w:w="3738"/>
            <w:vAlign w:val="top"/>
          </w:tcPr>
          <w:p>
            <w:pPr>
              <w:spacing w:after="80" w:before="60" w:line="276" w:lineRule="auto"/>
            </w:pPr>
            <w:r>
              <w:rPr>
                <w:sz w:val="18"/>
              </w:rPr>
              <w:t>控制器、交换、拓扑、操作系统页放置；规范支持与具体平台部署须分开。</w:t>
            </w:r>
            <w:hyperlink r:id="rId152">
              <w:r>
                <w:rPr>
                  <w:color w:val="4338CA"/>
                </w:rPr>
                <w:t>[S039]</w:t>
              </w:r>
            </w:hyperlink>
          </w:p>
        </w:tc>
      </w:tr>
      <w:tr>
        <w:trPr>
          <w:cantSplit/>
        </w:trPr>
        <w:tc>
          <w:tcPr>
            <w:tcW w:type="dxa" w:w="1187"/>
            <w:vAlign w:val="top"/>
          </w:tcPr>
          <w:p>
            <w:pPr>
              <w:spacing w:after="80" w:before="60" w:line="276" w:lineRule="auto"/>
            </w:pPr>
            <w:r>
              <w:rPr>
                <w:sz w:val="18"/>
              </w:rPr>
              <w:t>本地 NVMe SSD</w:t>
            </w:r>
          </w:p>
        </w:tc>
        <w:tc>
          <w:tcPr>
            <w:tcW w:type="dxa" w:w="2788"/>
            <w:vAlign w:val="top"/>
          </w:tcPr>
          <w:p>
            <w:pPr>
              <w:spacing w:after="80" w:before="60" w:line="276" w:lineRule="auto"/>
            </w:pPr>
            <w:r>
              <w:rPr>
                <w:sz w:val="18"/>
              </w:rPr>
              <w:t>PCIe 直连或通过本机交换结构</w:t>
            </w:r>
          </w:p>
        </w:tc>
        <w:tc>
          <w:tcPr>
            <w:tcW w:type="dxa" w:w="2180"/>
            <w:vAlign w:val="top"/>
          </w:tcPr>
          <w:p>
            <w:pPr>
              <w:spacing w:after="80" w:before="60" w:line="276" w:lineRule="auto"/>
            </w:pPr>
            <w:r>
              <w:rPr>
                <w:sz w:val="18"/>
              </w:rPr>
              <w:t>模型加载、数据暂存、检查点、局部缓存</w:t>
            </w:r>
          </w:p>
        </w:tc>
        <w:tc>
          <w:tcPr>
            <w:tcW w:type="dxa" w:w="3738"/>
            <w:vAlign w:val="top"/>
          </w:tcPr>
          <w:p>
            <w:pPr>
              <w:spacing w:after="80" w:before="60" w:line="276" w:lineRule="auto"/>
            </w:pPr>
            <w:r>
              <w:rPr>
                <w:sz w:val="18"/>
              </w:rPr>
              <w:t>随机/顺序、读/写比、尾延迟、耐久、热与容量。</w:t>
            </w:r>
            <w:hyperlink r:id="rId23">
              <w:r>
                <w:rPr>
                  <w:color w:val="4338CA"/>
                </w:rPr>
                <w:t>[S019]</w:t>
              </w:r>
            </w:hyperlink>
            <w:hyperlink r:id="rId19">
              <w:r>
                <w:rPr>
                  <w:color w:val="4338CA"/>
                </w:rPr>
                <w:t>[S020]</w:t>
              </w:r>
            </w:hyperlink>
          </w:p>
        </w:tc>
      </w:tr>
      <w:tr>
        <w:trPr>
          <w:cantSplit/>
        </w:trPr>
        <w:tc>
          <w:tcPr>
            <w:tcW w:type="dxa" w:w="1187"/>
            <w:vAlign w:val="top"/>
          </w:tcPr>
          <w:p>
            <w:pPr>
              <w:spacing w:after="80" w:before="60" w:line="276" w:lineRule="auto"/>
            </w:pPr>
            <w:r>
              <w:rPr>
                <w:sz w:val="18"/>
              </w:rPr>
              <w:t>网络 flash/存储系统</w:t>
            </w:r>
          </w:p>
        </w:tc>
        <w:tc>
          <w:tcPr>
            <w:tcW w:type="dxa" w:w="2788"/>
            <w:vAlign w:val="top"/>
          </w:tcPr>
          <w:p>
            <w:pPr>
              <w:spacing w:after="80" w:before="60" w:line="276" w:lineRule="auto"/>
            </w:pPr>
            <w:r>
              <w:rPr>
                <w:sz w:val="18"/>
              </w:rPr>
              <w:t>NVMe-oF 等把存储节点接到计算集群</w:t>
            </w:r>
          </w:p>
        </w:tc>
        <w:tc>
          <w:tcPr>
            <w:tcW w:type="dxa" w:w="2180"/>
            <w:vAlign w:val="top"/>
          </w:tcPr>
          <w:p>
            <w:pPr>
              <w:spacing w:after="80" w:before="60" w:line="276" w:lineRule="auto"/>
            </w:pPr>
            <w:r>
              <w:rPr>
                <w:sz w:val="18"/>
              </w:rPr>
              <w:t>多节点数据集、共享检查点、分布式缓存</w:t>
            </w:r>
          </w:p>
        </w:tc>
        <w:tc>
          <w:tcPr>
            <w:tcW w:type="dxa" w:w="3738"/>
            <w:vAlign w:val="top"/>
          </w:tcPr>
          <w:p>
            <w:pPr>
              <w:spacing w:after="80" w:before="60" w:line="276" w:lineRule="auto"/>
            </w:pPr>
            <w:r>
              <w:rPr>
                <w:sz w:val="18"/>
              </w:rPr>
              <w:t>NIC/DPU、链路、拥塞、服务端软件、元数据；不只看单盘。</w:t>
            </w:r>
            <w:hyperlink r:id="rId19">
              <w:r>
                <w:rPr>
                  <w:color w:val="4338CA"/>
                </w:rPr>
                <w:t>[S020]</w:t>
              </w:r>
            </w:hyperlink>
            <w:hyperlink r:id="rId20">
              <w:r>
                <w:rPr>
                  <w:color w:val="4338CA"/>
                </w:rPr>
                <w:t>[S025]</w:t>
              </w:r>
            </w:hyperlink>
          </w:p>
        </w:tc>
      </w:tr>
      <w:tr>
        <w:trPr>
          <w:cantSplit/>
        </w:trPr>
        <w:tc>
          <w:tcPr>
            <w:tcW w:type="dxa" w:w="1187"/>
            <w:vAlign w:val="top"/>
          </w:tcPr>
          <w:p>
            <w:pPr>
              <w:spacing w:after="80" w:before="60" w:line="276" w:lineRule="auto"/>
            </w:pPr>
            <w:r>
              <w:rPr>
                <w:sz w:val="18"/>
              </w:rPr>
              <w:t>HDD 容量层</w:t>
            </w:r>
          </w:p>
        </w:tc>
        <w:tc>
          <w:tcPr>
            <w:tcW w:type="dxa" w:w="2788"/>
            <w:vAlign w:val="top"/>
          </w:tcPr>
          <w:p>
            <w:pPr>
              <w:spacing w:after="80" w:before="60" w:line="276" w:lineRule="auto"/>
            </w:pPr>
            <w:r>
              <w:rPr>
                <w:sz w:val="18"/>
              </w:rPr>
              <w:t>磁盘、磁头、机械伺服及控制器组成的系统</w:t>
            </w:r>
          </w:p>
        </w:tc>
        <w:tc>
          <w:tcPr>
            <w:tcW w:type="dxa" w:w="2180"/>
            <w:vAlign w:val="top"/>
          </w:tcPr>
          <w:p>
            <w:pPr>
              <w:spacing w:after="80" w:before="60" w:line="276" w:lineRule="auto"/>
            </w:pPr>
            <w:r>
              <w:rPr>
                <w:sz w:val="18"/>
              </w:rPr>
              <w:t>大型原始数据、对象库、历史模型与日志</w:t>
            </w:r>
          </w:p>
        </w:tc>
        <w:tc>
          <w:tcPr>
            <w:tcW w:type="dxa" w:w="3738"/>
            <w:vAlign w:val="top"/>
          </w:tcPr>
          <w:p>
            <w:pPr>
              <w:spacing w:after="80" w:before="60" w:line="276" w:lineRule="auto"/>
            </w:pPr>
            <w:r>
              <w:rPr>
                <w:sz w:val="18"/>
              </w:rPr>
              <w:t>每 TB 成本、容量密度、随机 I/O、重建与可用性。</w:t>
            </w:r>
            <w:hyperlink r:id="rId159">
              <w:r>
                <w:rPr>
                  <w:color w:val="4338CA"/>
                </w:rPr>
                <w:t>[S045]</w:t>
              </w:r>
            </w:hyperlink>
            <w:hyperlink r:id="rId160">
              <w:r>
                <w:rPr>
                  <w:color w:val="4338CA"/>
                </w:rPr>
                <w:t>[S047]</w:t>
              </w:r>
            </w:hyperlink>
          </w:p>
        </w:tc>
      </w:tr>
      <w:tr>
        <w:trPr>
          <w:cantSplit/>
        </w:trPr>
        <w:tc>
          <w:tcPr>
            <w:tcW w:type="dxa" w:w="1187"/>
            <w:vAlign w:val="top"/>
          </w:tcPr>
          <w:p>
            <w:pPr>
              <w:spacing w:after="80" w:before="60" w:line="276" w:lineRule="auto"/>
            </w:pPr>
            <w:r>
              <w:rPr>
                <w:sz w:val="18"/>
              </w:rPr>
              <w:t>磁带归档</w:t>
            </w:r>
          </w:p>
        </w:tc>
        <w:tc>
          <w:tcPr>
            <w:tcW w:type="dxa" w:w="2788"/>
            <w:vAlign w:val="top"/>
          </w:tcPr>
          <w:p>
            <w:pPr>
              <w:spacing w:after="80" w:before="60" w:line="276" w:lineRule="auto"/>
            </w:pPr>
            <w:r>
              <w:rPr>
                <w:sz w:val="18"/>
              </w:rPr>
              <w:t>磁带介质、驱动器、机械带库与目录软件</w:t>
            </w:r>
          </w:p>
        </w:tc>
        <w:tc>
          <w:tcPr>
            <w:tcW w:type="dxa" w:w="2180"/>
            <w:vAlign w:val="top"/>
          </w:tcPr>
          <w:p>
            <w:pPr>
              <w:spacing w:after="80" w:before="60" w:line="276" w:lineRule="auto"/>
            </w:pPr>
            <w:r>
              <w:rPr>
                <w:sz w:val="18"/>
              </w:rPr>
              <w:t>长期保留、离线副本和合规归档</w:t>
            </w:r>
          </w:p>
        </w:tc>
        <w:tc>
          <w:tcPr>
            <w:tcW w:type="dxa" w:w="3738"/>
            <w:vAlign w:val="top"/>
          </w:tcPr>
          <w:p>
            <w:pPr>
              <w:spacing w:after="80" w:before="60" w:line="276" w:lineRule="auto"/>
            </w:pPr>
            <w:r>
              <w:rPr>
                <w:sz w:val="18"/>
              </w:rPr>
              <w:t>装载/定位延迟、顺序流式吞吐、恢复流程、介质迁移。</w:t>
            </w:r>
            <w:hyperlink r:id="rId161">
              <w:r>
                <w:rPr>
                  <w:color w:val="4338CA"/>
                </w:rPr>
                <w:t>[S049]</w:t>
              </w:r>
            </w:hyperlink>
          </w:p>
        </w:tc>
      </w:tr>
    </w:tbl>
    <w:p>
      <w:pPr>
        <w:spacing w:after="0"/>
      </w:pPr>
    </w:p>
    <w:p>
      <w:pPr/>
      <w:r>
        <w:rPr>
          <w:b/>
        </w:rPr>
        <w:t>材料和连接也是分层的。</w:t>
      </w:r>
      <w:r>
        <w:t xml:space="preserve"> SRAM 重点是逻辑晶体管与互连；DRAM cell 有访问晶体管和存储电容；HBM 在 DRAM 之上加 TSV/堆叠/封装；NAND 借助非易失 cell 阵列；HDD 与磁带依靠磁性介质。它们不是同一种“存储芯片”按速度排序后的可互换商品。</w:t>
      </w:r>
      <w:hyperlink r:id="rId162">
        <w:r>
          <w:rPr>
            <w:color w:val="4338CA"/>
          </w:rPr>
          <w:t>[S030]</w:t>
        </w:r>
      </w:hyperlink>
      <w:hyperlink r:id="rId155">
        <w:r>
          <w:rPr>
            <w:color w:val="4338CA"/>
          </w:rPr>
          <w:t>[S032]</w:t>
        </w:r>
      </w:hyperlink>
      <w:hyperlink r:id="rId29">
        <w:r>
          <w:rPr>
            <w:color w:val="4338CA"/>
          </w:rPr>
          <w:t>[S026]</w:t>
        </w:r>
      </w:hyperlink>
      <w:hyperlink r:id="rId163">
        <w:r>
          <w:rPr>
            <w:color w:val="4338CA"/>
          </w:rPr>
          <w:t>[S046]</w:t>
        </w:r>
      </w:hyperlink>
      <w:hyperlink r:id="rId161">
        <w:r>
          <w:rPr>
            <w:color w:val="4338CA"/>
          </w:rPr>
          <w:t>[S049]</w:t>
        </w:r>
      </w:hyperlink>
    </w:p>
    <w:p>
      <w:pPr>
        <w:pStyle w:val="Heading2"/>
      </w:pPr>
      <w:r>
        <w:t>SRAM 为何 AI 芯片会“被缓存面积吃掉”</w:t>
      </w:r>
    </w:p>
    <w:p>
      <w:pPr/>
      <w:r>
        <w:t>SRAM 常用于逻辑芯片内的 cache、buffer 和 register file 等结构。它的速度和近距离数据复用价值，使设计者愿意为其占用面积；但面积、功耗、容量、端口数和最小工作电压相互牵制。Synopsys 把小容量/高速需求与大容量/密度需求明确区分，因此“把更多数据都放 SRAM”通常不是免费的架构解法。</w:t>
      </w:r>
      <w:hyperlink r:id="rId155">
        <w:r>
          <w:rPr>
            <w:color w:val="4338CA"/>
          </w:rPr>
          <w:t>[S032]</w:t>
        </w:r>
      </w:hyperlink>
    </w:p>
    <w:p>
      <w:pPr/>
      <w:r>
        <w:t>产业链应拆成三层：芯片设计者决定缓存层级及访问方式；memory compiler/IP 提供与工艺相容的可配置结构；代工工艺实现 cell 与互连。Synopsys 的产品目录把 SRAM、register file、TCAM 分开，说明“有存储 IP”也需要继续核查存储类型、工艺节点和接口。此处不据目录推断某 AI 芯片一定采用该 IP。</w:t>
      </w:r>
      <w:hyperlink r:id="rId164">
        <w:r>
          <w:rPr>
            <w:color w:val="4338CA"/>
          </w:rPr>
          <w:t>[S059]</w:t>
        </w:r>
      </w:hyperlink>
    </w:p>
    <w:p>
      <w:pPr/>
      <w:r>
        <w:rPr>
          <w:b/>
        </w:rPr>
        <w:t>研究判断：</w:t>
      </w:r>
      <w:r>
        <w:t xml:space="preserve"> 若新增 SRAM 能减少从 HBM 往返搬运，可能提高系统能效；但扩大芯片又可能损害成本与良率。评估 SRAM 密集架构，应检查实际模型、命中率、片外流量和芯片面积，不能只用每颗芯片 SRAM 容量比较胜负。</w:t>
      </w:r>
      <w:hyperlink r:id="rId155">
        <w:r>
          <w:rPr>
            <w:color w:val="4338CA"/>
          </w:rPr>
          <w:t>[S032]</w:t>
        </w:r>
      </w:hyperlink>
      <w:hyperlink r:id="rId153">
        <w:r>
          <w:rPr>
            <w:color w:val="4338CA"/>
          </w:rPr>
          <w:t>[S040]</w:t>
        </w:r>
      </w:hyperlink>
    </w:p>
    <w:p>
      <w:pPr>
        <w:pStyle w:val="Heading2"/>
      </w:pPr>
      <w:r>
        <w:t>DRAM 电容缩放与主存配套芯片</w:t>
      </w:r>
    </w:p>
    <w:p>
      <w:pPr/>
      <w:r>
        <w:t>DRAM 的器件难题是缩小 cell 的同时仍储存足够可辨识电荷，并控制漏电和外围感测差异。更高更窄的电容结构推动硬掩模、深孔刻蚀与共形薄膜；外围逻辑又有独立的高 k 金属栅、布线及低 k 介质需求。不能把“DRAM 采用高 k”统称为同一个位置。</w:t>
      </w:r>
      <w:hyperlink r:id="rId162">
        <w:r>
          <w:rPr>
            <w:color w:val="4338CA"/>
          </w:rPr>
          <w:t>[S030]</w:t>
        </w:r>
      </w:hyperlink>
    </w:p>
    <w:p>
      <w:pPr/>
      <w:r>
        <w:t>在工艺分析中，把电容介质的电容/漏电目标、外围晶体管栅介质的栅控目标、后端低 k 材料的互连耦合目标分别列出。ASM 的 ALD 应用包含 MIM capacitor 与 HKMG，显示同类设备方法可以服务不同器件位置；器件研究中可看到 ZrO₂/Al₂O₃/TiN 电容膜系与原子层刻蚀的组合，说明介质、电极与图形修整需共同设计；这是论文实验结构，特定商业节点的配方、厚度与客户导入本报告未取得公开统一 BOM，故不作逐厂套用。</w:t>
      </w:r>
      <w:hyperlink r:id="rId53">
        <w:r>
          <w:rPr>
            <w:color w:val="4338CA"/>
          </w:rPr>
          <w:t>[S031]</w:t>
        </w:r>
      </w:hyperlink>
      <w:hyperlink r:id="rId165">
        <w:r>
          <w:rPr>
            <w:color w:val="4338CA"/>
          </w:rPr>
          <w:t>[S067]</w:t>
        </w:r>
      </w:hyperlink>
    </w:p>
    <w:p>
      <w:pPr/>
      <w:r>
        <w:t>一根服务器 DDR5 RDIMM 除 DRAM 还包括 RCD、PMIC、SPD hub 和温度感测；MRDIMM 则引入 MRCD、MDB 等。RCD 处理命令、地址和时钟分配，数据缓冲芯片处理数据路径，PMIC 处理供电。内存接口公司的技术价值，是在信号完整性、功耗与平台兼容性上支撑更高速度/容量，并不等于生产 DRAM cell。</w:t>
      </w:r>
      <w:hyperlink r:id="rId158">
        <w:r>
          <w:rPr>
            <w:color w:val="4338CA"/>
          </w:rPr>
          <w:t>[S036]</w:t>
        </w:r>
      </w:hyperlink>
      <w:hyperlink r:id="rId166">
        <w:r>
          <w:rPr>
            <w:color w:val="4338CA"/>
          </w:rPr>
          <w:t>[S037]</w:t>
        </w:r>
      </w:hyperlink>
    </w:p>
    <w:tbl>
      <w:tblPr>
        <w:tblW w:type="auto" w:w="0"/>
        <w:jc w:val="center"/>
        <w:tblLayout w:type="fixed"/>
        <w:tblLook w:firstColumn="1" w:firstRow="1" w:lastColumn="0" w:lastRow="0" w:noHBand="0" w:noVBand="1" w:val="04A0"/>
      </w:tblPr>
      <w:tblGrid>
        <w:gridCol w:w="1303"/>
        <w:gridCol w:w="4030"/>
        <w:gridCol w:w="4560"/>
      </w:tblGrid>
      <w:tr>
        <w:trPr>
          <w:tblHeader/>
        </w:trPr>
        <w:tc>
          <w:tcPr>
            <w:tcW w:type="dxa" w:w="1303"/>
            <w:vAlign w:val="top"/>
            <w:shd w:fill="E0E7FF"/>
          </w:tcPr>
          <w:p>
            <w:pPr>
              <w:spacing w:after="80" w:before="60" w:line="276" w:lineRule="auto"/>
            </w:pPr>
            <w:r>
              <w:rPr>
                <w:b/>
                <w:sz w:val="18"/>
              </w:rPr>
              <w:t>配套环节</w:t>
            </w:r>
          </w:p>
        </w:tc>
        <w:tc>
          <w:tcPr>
            <w:tcW w:type="dxa" w:w="4030"/>
            <w:vAlign w:val="top"/>
            <w:shd w:fill="E0E7FF"/>
          </w:tcPr>
          <w:p>
            <w:pPr>
              <w:spacing w:after="80" w:before="60" w:line="276" w:lineRule="auto"/>
            </w:pPr>
            <w:r>
              <w:rPr>
                <w:b/>
                <w:sz w:val="18"/>
              </w:rPr>
              <w:t>可核实的代表</w:t>
            </w:r>
          </w:p>
        </w:tc>
        <w:tc>
          <w:tcPr>
            <w:tcW w:type="dxa" w:w="4560"/>
            <w:vAlign w:val="top"/>
            <w:shd w:fill="E0E7FF"/>
          </w:tcPr>
          <w:p>
            <w:pPr>
              <w:spacing w:after="80" w:before="60" w:line="276" w:lineRule="auto"/>
            </w:pPr>
            <w:r>
              <w:rPr>
                <w:b/>
                <w:sz w:val="18"/>
              </w:rPr>
              <w:t>公司位置与尽调重点</w:t>
            </w:r>
          </w:p>
        </w:tc>
      </w:tr>
      <w:tr>
        <w:trPr>
          <w:cantSplit/>
        </w:trPr>
        <w:tc>
          <w:tcPr>
            <w:tcW w:type="dxa" w:w="1303"/>
            <w:vAlign w:val="top"/>
          </w:tcPr>
          <w:p>
            <w:pPr>
              <w:spacing w:after="80" w:before="60" w:line="276" w:lineRule="auto"/>
            </w:pPr>
            <w:r>
              <w:rPr>
                <w:sz w:val="18"/>
              </w:rPr>
              <w:t>服务器内存接口与缓冲</w:t>
            </w:r>
          </w:p>
        </w:tc>
        <w:tc>
          <w:tcPr>
            <w:tcW w:type="dxa" w:w="4030"/>
            <w:vAlign w:val="top"/>
          </w:tcPr>
          <w:p>
            <w:pPr>
              <w:spacing w:after="80" w:before="60" w:line="276" w:lineRule="auto"/>
            </w:pPr>
            <w:r>
              <w:rPr>
                <w:sz w:val="18"/>
              </w:rPr>
              <w:t>中国大陆澜起科技、美国 Rambus、日本 Renesas</w:t>
            </w:r>
          </w:p>
        </w:tc>
        <w:tc>
          <w:tcPr>
            <w:tcW w:type="dxa" w:w="4560"/>
            <w:vAlign w:val="top"/>
          </w:tcPr>
          <w:p>
            <w:pPr>
              <w:spacing w:after="80" w:before="60" w:line="276" w:lineRule="auto"/>
            </w:pPr>
            <w:r>
              <w:rPr>
                <w:sz w:val="18"/>
              </w:rPr>
              <w:t>官方资料列有 DDR5 RCD/DB、SPD/TS/PMIC 等不同组合；逐项比较产品，不能默认每家公司覆盖所有世代与全部料号。</w:t>
            </w:r>
            <w:hyperlink r:id="rId158">
              <w:r>
                <w:rPr>
                  <w:color w:val="4338CA"/>
                </w:rPr>
                <w:t>[S036]</w:t>
              </w:r>
            </w:hyperlink>
            <w:hyperlink r:id="rId166">
              <w:r>
                <w:rPr>
                  <w:color w:val="4338CA"/>
                </w:rPr>
                <w:t>[S037]</w:t>
              </w:r>
            </w:hyperlink>
            <w:hyperlink r:id="rId167">
              <w:r>
                <w:rPr>
                  <w:color w:val="4338CA"/>
                </w:rPr>
                <w:t>[S038]</w:t>
              </w:r>
            </w:hyperlink>
          </w:p>
        </w:tc>
      </w:tr>
      <w:tr>
        <w:trPr>
          <w:cantSplit/>
        </w:trPr>
        <w:tc>
          <w:tcPr>
            <w:tcW w:type="dxa" w:w="1303"/>
            <w:vAlign w:val="top"/>
          </w:tcPr>
          <w:p>
            <w:pPr>
              <w:spacing w:after="80" w:before="60" w:line="276" w:lineRule="auto"/>
            </w:pPr>
            <w:r>
              <w:rPr>
                <w:sz w:val="18"/>
              </w:rPr>
              <w:t>标准与移动 DRAM</w:t>
            </w:r>
          </w:p>
        </w:tc>
        <w:tc>
          <w:tcPr>
            <w:tcW w:type="dxa" w:w="4030"/>
            <w:vAlign w:val="top"/>
          </w:tcPr>
          <w:p>
            <w:pPr>
              <w:spacing w:after="80" w:before="60" w:line="276" w:lineRule="auto"/>
            </w:pPr>
            <w:r>
              <w:rPr>
                <w:sz w:val="18"/>
              </w:rPr>
              <w:t>韩国 Samsung、SK hynix；美国 Micron；中国大陆 CXMT；中国台湾 Nanya</w:t>
            </w:r>
          </w:p>
        </w:tc>
        <w:tc>
          <w:tcPr>
            <w:tcW w:type="dxa" w:w="4560"/>
            <w:vAlign w:val="top"/>
          </w:tcPr>
          <w:p>
            <w:pPr>
              <w:spacing w:after="80" w:before="60" w:line="276" w:lineRule="auto"/>
            </w:pPr>
            <w:r>
              <w:rPr>
                <w:sz w:val="18"/>
              </w:rPr>
              <w:t>HBM/主存/移动产品和制造状态要分开；CXMT 官网列 DDR5/LPDDR5X，Nanya 投资者材料讨论 DDR5 等产品路线。</w:t>
            </w:r>
            <w:hyperlink r:id="rId29">
              <w:r>
                <w:rPr>
                  <w:color w:val="4338CA"/>
                </w:rPr>
                <w:t>[S026]</w:t>
              </w:r>
            </w:hyperlink>
            <w:hyperlink r:id="rId156">
              <w:r>
                <w:rPr>
                  <w:color w:val="4338CA"/>
                </w:rPr>
                <w:t>[S028]</w:t>
              </w:r>
            </w:hyperlink>
            <w:hyperlink r:id="rId168">
              <w:r>
                <w:rPr>
                  <w:color w:val="4338CA"/>
                </w:rPr>
                <w:t>[S029]</w:t>
              </w:r>
            </w:hyperlink>
            <w:hyperlink r:id="rId169">
              <w:r>
                <w:rPr>
                  <w:color w:val="4338CA"/>
                </w:rPr>
                <w:t>[S033]</w:t>
              </w:r>
            </w:hyperlink>
            <w:hyperlink r:id="rId170">
              <w:r>
                <w:rPr>
                  <w:color w:val="4338CA"/>
                </w:rPr>
                <w:t>[S034]</w:t>
              </w:r>
            </w:hyperlink>
          </w:p>
        </w:tc>
      </w:tr>
      <w:tr>
        <w:trPr>
          <w:cantSplit/>
        </w:trPr>
        <w:tc>
          <w:tcPr>
            <w:tcW w:type="dxa" w:w="1303"/>
            <w:vAlign w:val="top"/>
          </w:tcPr>
          <w:p>
            <w:pPr>
              <w:spacing w:after="80" w:before="60" w:line="276" w:lineRule="auto"/>
            </w:pPr>
            <w:r>
              <w:rPr>
                <w:sz w:val="18"/>
              </w:rPr>
              <w:t>利基型 DRAM</w:t>
            </w:r>
          </w:p>
        </w:tc>
        <w:tc>
          <w:tcPr>
            <w:tcW w:type="dxa" w:w="4030"/>
            <w:vAlign w:val="top"/>
          </w:tcPr>
          <w:p>
            <w:pPr>
              <w:spacing w:after="80" w:before="60" w:line="276" w:lineRule="auto"/>
            </w:pPr>
            <w:r>
              <w:rPr>
                <w:sz w:val="18"/>
              </w:rPr>
              <w:t>中国台湾 Winbond 等</w:t>
            </w:r>
          </w:p>
        </w:tc>
        <w:tc>
          <w:tcPr>
            <w:tcW w:type="dxa" w:w="4560"/>
            <w:vAlign w:val="top"/>
          </w:tcPr>
          <w:p>
            <w:pPr>
              <w:spacing w:after="80" w:before="60" w:line="276" w:lineRule="auto"/>
            </w:pPr>
            <w:r>
              <w:rPr>
                <w:sz w:val="18"/>
              </w:rPr>
              <w:t>Winbond 明确以 specialty/mobile DRAM 为产品线，不能把它视为拥有同等 HBM 量产能力。</w:t>
            </w:r>
            <w:hyperlink r:id="rId171">
              <w:r>
                <w:rPr>
                  <w:color w:val="4338CA"/>
                </w:rPr>
                <w:t>[S035]</w:t>
              </w:r>
            </w:hyperlink>
          </w:p>
        </w:tc>
      </w:tr>
    </w:tbl>
    <w:p>
      <w:pPr>
        <w:spacing w:after="0"/>
      </w:pPr>
    </w:p>
    <w:p>
      <w:pPr/>
      <w:r>
        <w:t>CXMT 官网截至检索日已披露 DDR5 与 LPDDR 产品；这足以确认产品布局，不能据此认定与全球龙头在所有服务器容量、可靠性、HBM 或客户认证上等同。比较国产替代必须到具体规格、产量、平台验证及可交付性。</w:t>
      </w:r>
      <w:hyperlink r:id="rId169">
        <w:r>
          <w:rPr>
            <w:color w:val="4338CA"/>
          </w:rPr>
          <w:t>[S033]</w:t>
        </w:r>
      </w:hyperlink>
    </w:p>
    <w:p>
      <w:pPr>
        <w:pStyle w:val="Heading2"/>
      </w:pPr>
      <w:r>
        <w:t>HBM 把“会造 DRAM”升级成“能交付高良率宽接口堆栈”</w:t>
      </w:r>
    </w:p>
    <w:p>
      <w:pPr/>
      <w:r>
        <w:t>HBM 的基本结构是 DRAM die 垂直堆叠、用 TSV 建立穿硅通路，再与逻辑底片及外部处理器封装互连。真正的系统接口不是单一高速串行线，而是大量并行 I/O；拓宽接口提高总带宽，也放大供电、布线、测试与热管理压力。</w:t>
      </w:r>
      <w:hyperlink r:id="rId29">
        <w:r>
          <w:rPr>
            <w:color w:val="4338CA"/>
          </w:rPr>
          <w:t>[S026]</w:t>
        </w:r>
      </w:hyperlink>
      <w:hyperlink r:id="rId156">
        <w:r>
          <w:rPr>
            <w:color w:val="4338CA"/>
          </w:rPr>
          <w:t>[S028]</w:t>
        </w:r>
      </w:hyperlink>
    </w:p>
    <w:tbl>
      <w:tblPr>
        <w:tblW w:type="auto" w:w="0"/>
        <w:jc w:val="center"/>
        <w:tblLayout w:type="fixed"/>
        <w:tblLook w:firstColumn="1" w:firstRow="1" w:lastColumn="0" w:lastRow="0" w:noHBand="0" w:noVBand="1" w:val="04A0"/>
      </w:tblPr>
      <w:tblGrid>
        <w:gridCol w:w="2009"/>
        <w:gridCol w:w="2690"/>
        <w:gridCol w:w="5194"/>
      </w:tblGrid>
      <w:tr>
        <w:trPr>
          <w:tblHeader/>
        </w:trPr>
        <w:tc>
          <w:tcPr>
            <w:tcW w:type="dxa" w:w="2009"/>
            <w:vAlign w:val="top"/>
            <w:shd w:fill="E0E7FF"/>
          </w:tcPr>
          <w:p>
            <w:pPr>
              <w:spacing w:after="80" w:before="60" w:line="276" w:lineRule="auto"/>
            </w:pPr>
            <w:r>
              <w:rPr>
                <w:b/>
                <w:sz w:val="18"/>
              </w:rPr>
              <w:t>制造/集成步骤</w:t>
            </w:r>
          </w:p>
        </w:tc>
        <w:tc>
          <w:tcPr>
            <w:tcW w:type="dxa" w:w="2690"/>
            <w:vAlign w:val="top"/>
            <w:shd w:fill="E0E7FF"/>
          </w:tcPr>
          <w:p>
            <w:pPr>
              <w:spacing w:after="80" w:before="60" w:line="276" w:lineRule="auto"/>
            </w:pPr>
            <w:r>
              <w:rPr>
                <w:b/>
                <w:sz w:val="18"/>
              </w:rPr>
              <w:t>技术任务</w:t>
            </w:r>
          </w:p>
        </w:tc>
        <w:tc>
          <w:tcPr>
            <w:tcW w:type="dxa" w:w="5194"/>
            <w:vAlign w:val="top"/>
            <w:shd w:fill="E0E7FF"/>
          </w:tcPr>
          <w:p>
            <w:pPr>
              <w:spacing w:after="80" w:before="60" w:line="276" w:lineRule="auto"/>
            </w:pPr>
            <w:r>
              <w:rPr>
                <w:b/>
                <w:sz w:val="18"/>
              </w:rPr>
              <w:t>为什么会形成壁垒</w:t>
            </w:r>
          </w:p>
        </w:tc>
      </w:tr>
      <w:tr>
        <w:trPr>
          <w:cantSplit/>
        </w:trPr>
        <w:tc>
          <w:tcPr>
            <w:tcW w:type="dxa" w:w="2009"/>
            <w:vAlign w:val="top"/>
          </w:tcPr>
          <w:p>
            <w:pPr>
              <w:spacing w:after="80" w:before="60" w:line="276" w:lineRule="auto"/>
            </w:pPr>
            <w:r>
              <w:rPr>
                <w:sz w:val="18"/>
              </w:rPr>
              <w:t>DRAM 晶圆制造</w:t>
            </w:r>
          </w:p>
        </w:tc>
        <w:tc>
          <w:tcPr>
            <w:tcW w:type="dxa" w:w="2690"/>
            <w:vAlign w:val="top"/>
          </w:tcPr>
          <w:p>
            <w:pPr>
              <w:spacing w:after="80" w:before="60" w:line="276" w:lineRule="auto"/>
            </w:pPr>
            <w:r>
              <w:rPr>
                <w:sz w:val="18"/>
              </w:rPr>
              <w:t>cell、外围、I/O 与功耗设计</w:t>
            </w:r>
          </w:p>
        </w:tc>
        <w:tc>
          <w:tcPr>
            <w:tcW w:type="dxa" w:w="5194"/>
            <w:vAlign w:val="top"/>
          </w:tcPr>
          <w:p>
            <w:pPr>
              <w:spacing w:after="80" w:before="60" w:line="276" w:lineRule="auto"/>
            </w:pPr>
            <w:r>
              <w:rPr>
                <w:sz w:val="18"/>
              </w:rPr>
              <w:t>前道器件良率和电性分布影响后续可用裸片数。</w:t>
            </w:r>
            <w:hyperlink r:id="rId162">
              <w:r>
                <w:rPr>
                  <w:color w:val="4338CA"/>
                </w:rPr>
                <w:t>[S030]</w:t>
              </w:r>
            </w:hyperlink>
          </w:p>
        </w:tc>
      </w:tr>
      <w:tr>
        <w:trPr>
          <w:cantSplit/>
        </w:trPr>
        <w:tc>
          <w:tcPr>
            <w:tcW w:type="dxa" w:w="2009"/>
            <w:vAlign w:val="top"/>
          </w:tcPr>
          <w:p>
            <w:pPr>
              <w:spacing w:after="80" w:before="60" w:line="276" w:lineRule="auto"/>
            </w:pPr>
            <w:r>
              <w:rPr>
                <w:sz w:val="18"/>
              </w:rPr>
              <w:t>TSV 加工及背面处理</w:t>
            </w:r>
          </w:p>
        </w:tc>
        <w:tc>
          <w:tcPr>
            <w:tcW w:type="dxa" w:w="2690"/>
            <w:vAlign w:val="top"/>
          </w:tcPr>
          <w:p>
            <w:pPr>
              <w:spacing w:after="80" w:before="60" w:line="276" w:lineRule="auto"/>
            </w:pPr>
            <w:r>
              <w:rPr>
                <w:sz w:val="18"/>
              </w:rPr>
              <w:t>穿硅连接、绝缘/阻挡、填充及露出连接结构</w:t>
            </w:r>
          </w:p>
        </w:tc>
        <w:tc>
          <w:tcPr>
            <w:tcW w:type="dxa" w:w="5194"/>
            <w:vAlign w:val="top"/>
          </w:tcPr>
          <w:p>
            <w:pPr>
              <w:spacing w:after="80" w:before="60" w:line="276" w:lineRule="auto"/>
            </w:pPr>
            <w:r>
              <w:rPr>
                <w:sz w:val="18"/>
              </w:rPr>
              <w:t>高密度通路、金属填充、薄片与机械应力必须协同。</w:t>
            </w:r>
            <w:hyperlink r:id="rId172">
              <w:r>
                <w:rPr>
                  <w:color w:val="4338CA"/>
                </w:rPr>
                <w:t>[S056]</w:t>
              </w:r>
            </w:hyperlink>
          </w:p>
        </w:tc>
      </w:tr>
      <w:tr>
        <w:trPr>
          <w:cantSplit/>
        </w:trPr>
        <w:tc>
          <w:tcPr>
            <w:tcW w:type="dxa" w:w="2009"/>
            <w:vAlign w:val="top"/>
          </w:tcPr>
          <w:p>
            <w:pPr>
              <w:spacing w:after="80" w:before="60" w:line="276" w:lineRule="auto"/>
            </w:pPr>
            <w:r>
              <w:rPr>
                <w:sz w:val="18"/>
              </w:rPr>
              <w:t>裸片筛选与堆叠</w:t>
            </w:r>
          </w:p>
        </w:tc>
        <w:tc>
          <w:tcPr>
            <w:tcW w:type="dxa" w:w="2690"/>
            <w:vAlign w:val="top"/>
          </w:tcPr>
          <w:p>
            <w:pPr>
              <w:spacing w:after="80" w:before="60" w:line="276" w:lineRule="auto"/>
            </w:pPr>
            <w:r>
              <w:rPr>
                <w:sz w:val="18"/>
              </w:rPr>
              <w:t>将合格 die 与逻辑底片连接</w:t>
            </w:r>
          </w:p>
        </w:tc>
        <w:tc>
          <w:tcPr>
            <w:tcW w:type="dxa" w:w="5194"/>
            <w:vAlign w:val="top"/>
          </w:tcPr>
          <w:p>
            <w:pPr>
              <w:spacing w:after="80" w:before="60" w:line="276" w:lineRule="auto"/>
            </w:pPr>
            <w:r>
              <w:rPr>
                <w:sz w:val="18"/>
              </w:rPr>
              <w:t>若把缺陷 die 堆进去，其他已投入的合格 die 与封装价值也受损；已知良品 die 很关键。</w:t>
            </w:r>
            <w:hyperlink r:id="rId29">
              <w:r>
                <w:rPr>
                  <w:color w:val="4338CA"/>
                </w:rPr>
                <w:t>[S026]</w:t>
              </w:r>
            </w:hyperlink>
          </w:p>
        </w:tc>
      </w:tr>
      <w:tr>
        <w:trPr>
          <w:cantSplit/>
        </w:trPr>
        <w:tc>
          <w:tcPr>
            <w:tcW w:type="dxa" w:w="2009"/>
            <w:vAlign w:val="top"/>
          </w:tcPr>
          <w:p>
            <w:pPr>
              <w:spacing w:after="80" w:before="60" w:line="276" w:lineRule="auto"/>
            </w:pPr>
            <w:r>
              <w:rPr>
                <w:sz w:val="18"/>
              </w:rPr>
              <w:t>微凸点/底填或后续混合键合路线</w:t>
            </w:r>
          </w:p>
        </w:tc>
        <w:tc>
          <w:tcPr>
            <w:tcW w:type="dxa" w:w="2690"/>
            <w:vAlign w:val="top"/>
          </w:tcPr>
          <w:p>
            <w:pPr>
              <w:spacing w:after="80" w:before="60" w:line="276" w:lineRule="auto"/>
            </w:pPr>
            <w:r>
              <w:rPr>
                <w:sz w:val="18"/>
              </w:rPr>
              <w:t>兼顾间距、机械稳定和导热</w:t>
            </w:r>
          </w:p>
        </w:tc>
        <w:tc>
          <w:tcPr>
            <w:tcW w:type="dxa" w:w="5194"/>
            <w:vAlign w:val="top"/>
          </w:tcPr>
          <w:p>
            <w:pPr>
              <w:spacing w:after="80" w:before="60" w:line="276" w:lineRule="auto"/>
            </w:pPr>
            <w:r>
              <w:rPr>
                <w:sz w:val="18"/>
              </w:rPr>
              <w:t>SK hynix 公布的 HBM4E 送样仍使用 Advanced MR-MUF，不能把混合键合写成当代所有 HBM 的必选方案。</w:t>
            </w:r>
            <w:hyperlink r:id="rId168">
              <w:r>
                <w:rPr>
                  <w:color w:val="4338CA"/>
                </w:rPr>
                <w:t>[S029]</w:t>
              </w:r>
            </w:hyperlink>
          </w:p>
        </w:tc>
      </w:tr>
      <w:tr>
        <w:trPr>
          <w:cantSplit/>
        </w:trPr>
        <w:tc>
          <w:tcPr>
            <w:tcW w:type="dxa" w:w="2009"/>
            <w:vAlign w:val="top"/>
          </w:tcPr>
          <w:p>
            <w:pPr>
              <w:spacing w:after="80" w:before="60" w:line="276" w:lineRule="auto"/>
            </w:pPr>
            <w:r>
              <w:rPr>
                <w:sz w:val="18"/>
              </w:rPr>
              <w:t>与 GPU/ASIC 集成及测试</w:t>
            </w:r>
          </w:p>
        </w:tc>
        <w:tc>
          <w:tcPr>
            <w:tcW w:type="dxa" w:w="2690"/>
            <w:vAlign w:val="top"/>
          </w:tcPr>
          <w:p>
            <w:pPr>
              <w:spacing w:after="80" w:before="60" w:line="276" w:lineRule="auto"/>
            </w:pPr>
            <w:r>
              <w:rPr>
                <w:sz w:val="18"/>
              </w:rPr>
              <w:t>检查宽接口、热、供电、信号与整封装工作</w:t>
            </w:r>
          </w:p>
        </w:tc>
        <w:tc>
          <w:tcPr>
            <w:tcW w:type="dxa" w:w="5194"/>
            <w:vAlign w:val="top"/>
          </w:tcPr>
          <w:p>
            <w:pPr>
              <w:spacing w:after="80" w:before="60" w:line="276" w:lineRule="auto"/>
            </w:pPr>
            <w:r>
              <w:rPr>
                <w:sz w:val="18"/>
              </w:rPr>
              <w:t>单颗 DRAM 合格不等于堆栈合格，更不等于加速器系统客户认证。</w:t>
            </w:r>
            <w:hyperlink r:id="rId29">
              <w:r>
                <w:rPr>
                  <w:color w:val="4338CA"/>
                </w:rPr>
                <w:t>[S026]</w:t>
              </w:r>
            </w:hyperlink>
            <w:hyperlink r:id="rId172">
              <w:r>
                <w:rPr>
                  <w:color w:val="4338CA"/>
                </w:rPr>
                <w:t>[S056]</w:t>
              </w:r>
            </w:hyperlink>
          </w:p>
        </w:tc>
      </w:tr>
    </w:tbl>
    <w:p>
      <w:pPr>
        <w:spacing w:after="0"/>
      </w:pPr>
    </w:p>
    <w:p>
      <w:pPr/>
      <w:r>
        <w:rPr>
          <w:b/>
        </w:rPr>
        <w:t>截至 2026-10-15 的状态切面。</w:t>
      </w:r>
      <w:r>
        <w:t xml:space="preserve"> Micron 3 月宣布 HBM4 36 GB 12H 已在 2026 年第一季量产出货；Samsung 2 月宣布 HBM4 商业出货，使用 1c DRAM 与 4nm 逻辑底片；SK hynix 6 月公布的是 HBM4E 12 层送样，不能把该消息当作 HBM4E 已量产。这三种表述均为各公司声明，不能直接组合成独立验证的市场份额表。</w:t>
      </w:r>
      <w:hyperlink r:id="rId157">
        <w:r>
          <w:rPr>
            <w:color w:val="4338CA"/>
          </w:rPr>
          <w:t>[S027]</w:t>
        </w:r>
      </w:hyperlink>
      <w:hyperlink r:id="rId156">
        <w:r>
          <w:rPr>
            <w:color w:val="4338CA"/>
          </w:rPr>
          <w:t>[S028]</w:t>
        </w:r>
      </w:hyperlink>
      <w:hyperlink r:id="rId168">
        <w:r>
          <w:rPr>
            <w:color w:val="4338CA"/>
          </w:rPr>
          <w:t>[S029]</w:t>
        </w:r>
      </w:hyperlink>
    </w:p>
    <w:p>
      <w:pPr/>
      <w:r>
        <w:t>Micron 产品页给出的 HBM4 指标为 2,048-bit 级接口、每 pin 超过 11 Gb/s、每 stack 超过 2.8 TB/s；其 12H 的功效比较对象是自家 12H HBM3E。Samsung 的“最高”带宽与稳定 pin 速度也有各自边界。对外比较需要固定容量、堆叠高度、速度档、功耗口径与热条件，不能把不同峰值拼成统一跑分。</w:t>
      </w:r>
      <w:hyperlink r:id="rId29">
        <w:r>
          <w:rPr>
            <w:color w:val="4338CA"/>
          </w:rPr>
          <w:t>[S026]</w:t>
        </w:r>
      </w:hyperlink>
      <w:hyperlink r:id="rId156">
        <w:r>
          <w:rPr>
            <w:color w:val="4338CA"/>
          </w:rPr>
          <w:t>[S028]</w:t>
        </w:r>
      </w:hyperlink>
    </w:p>
    <w:p>
      <w:pPr/>
      <w:r>
        <w:rPr>
          <w:b/>
        </w:rPr>
        <w:t>研究判断：</w:t>
      </w:r>
      <w:r>
        <w:t xml:space="preserve"> HBM 的门槛具有乘法特征：前道合格裸片、堆叠互连、热和整封装认证共同决定可售输出；示意上可写成“投入数量 × 各阶段良率”，但缺陷相关性、冗余/修复会影响真实计算。投资时应问良率发生在哪一阶段、可否修复、损失由谁承担，而非只问“有多少 HBM 产能”。</w:t>
      </w:r>
      <w:hyperlink r:id="rId29">
        <w:r>
          <w:rPr>
            <w:color w:val="4338CA"/>
          </w:rPr>
          <w:t>[S026]</w:t>
        </w:r>
      </w:hyperlink>
      <w:hyperlink r:id="rId172">
        <w:r>
          <w:rPr>
            <w:color w:val="4338CA"/>
          </w:rPr>
          <w:t>[S056]</w:t>
        </w:r>
      </w:hyperlink>
    </w:p>
    <w:p>
      <w:pPr>
        <w:pStyle w:val="Heading1"/>
        <w:pageBreakBefore/>
      </w:pPr>
      <w:r>
        <w:t>04A  SSD、网络存储、HDD 与磁带怎样服务 AI</w:t>
      </w:r>
    </w:p>
    <w:p>
      <w:pPr>
        <w:pStyle w:val="Heading2"/>
      </w:pPr>
      <w:r>
        <w:t>SSD 的核心竞争力在控制系统</w:t>
      </w:r>
    </w:p>
    <w:p>
      <w:pPr/>
      <w:r>
        <w:t>SSD 控制器结合 NAND 通道、片上 SRAM、可选 DRAM、ECC/LDPC、数据路径校验与固件。FTL 把主机逻辑地址映射到物理位置；映射颗粒越细，通常需要管理的表项越多。Solidigm 指出大容量 QLC 盘的 DRAM 成本/功耗约束会推动更大的 indirection unit，因而需注意应用写入粒度与盘内部管理单位的匹配。</w:t>
      </w:r>
      <w:hyperlink r:id="rId16">
        <w:r>
          <w:rPr>
            <w:color w:val="4338CA"/>
          </w:rPr>
          <w:t>[S001]</w:t>
        </w:r>
      </w:hyperlink>
      <w:hyperlink r:id="rId17">
        <w:r>
          <w:rPr>
            <w:color w:val="4338CA"/>
          </w:rPr>
          <w:t>[S017]</w:t>
        </w:r>
      </w:hyperlink>
      <w:hyperlink r:id="rId20">
        <w:r>
          <w:rPr>
            <w:color w:val="4338CA"/>
          </w:rPr>
          <w:t>[S025]</w:t>
        </w:r>
      </w:hyperlink>
    </w:p>
    <w:p>
      <w:pPr/>
      <w:r>
        <w:rPr>
          <w:b/>
        </w:rPr>
        <w:t>DRAM-less 不等于 NAND-less，也不等于整机没有内存。</w:t>
      </w:r>
      <w:r>
        <w:t xml:space="preserve"> 它通常表示 SSD 没有独立外置 DRAM；可以利用片上资源、NAND 中的映射以及 HMB 等设计。慧荣 SM2504XT 公开支持 HMB，SM2508 则是另一个通道/缓存配置。应比较具体产品在随机访问、容量、功耗和断电场景中的表现，不能只按“有无 DRAM”定优劣。</w:t>
      </w:r>
      <w:hyperlink r:id="rId16">
        <w:r>
          <w:rPr>
            <w:color w:val="4338CA"/>
          </w:rPr>
          <w:t>[S001]</w:t>
        </w:r>
      </w:hyperlink>
      <w:hyperlink r:id="rId17">
        <w:r>
          <w:rPr>
            <w:color w:val="4338CA"/>
          </w:rPr>
          <w:t>[S017]</w:t>
        </w:r>
      </w:hyperlink>
    </w:p>
    <w:p>
      <w:pPr/>
      <w:r>
        <w:rPr>
          <w:b/>
        </w:rPr>
        <w:t>外形与散热也是系统接口。</w:t>
      </w:r>
      <w:r>
        <w:t xml:space="preserve"> M.2、2.5 英寸 U.2/U.3 与 EDSFF 的 E1/E3 家族，涉及 PCB 空间、连接、功率预算、维护和热设计。E1.S、E1.L、E3.S 的名字不能替代 PCIe 代际、lane 数、单/双端口或盘容量规格；采购要把外形、接口、背板与服务器认证分列。Kioxia 将 EDSFF 明确作为改善旧外形限制的规范家族。</w:t>
      </w:r>
      <w:hyperlink r:id="rId173">
        <w:r>
          <w:rPr>
            <w:color w:val="4338CA"/>
          </w:rPr>
          <w:t>[S073]</w:t>
        </w:r>
      </w:hyperlink>
    </w:p>
    <w:tbl>
      <w:tblPr>
        <w:tblW w:type="auto" w:w="0"/>
        <w:jc w:val="center"/>
        <w:tblLayout w:type="fixed"/>
        <w:tblLook w:firstColumn="1" w:firstRow="1" w:lastColumn="0" w:lastRow="0" w:noHBand="0" w:noVBand="1" w:val="04A0"/>
      </w:tblPr>
      <w:tblGrid>
        <w:gridCol w:w="1427"/>
        <w:gridCol w:w="3016"/>
        <w:gridCol w:w="5449"/>
      </w:tblGrid>
      <w:tr>
        <w:trPr>
          <w:tblHeader/>
        </w:trPr>
        <w:tc>
          <w:tcPr>
            <w:tcW w:type="dxa" w:w="1427"/>
            <w:vAlign w:val="top"/>
            <w:shd w:fill="E0E7FF"/>
          </w:tcPr>
          <w:p>
            <w:pPr>
              <w:spacing w:after="80" w:before="60" w:line="276" w:lineRule="auto"/>
            </w:pPr>
            <w:r>
              <w:rPr>
                <w:b/>
                <w:sz w:val="18"/>
              </w:rPr>
              <w:t>固件能力</w:t>
            </w:r>
          </w:p>
        </w:tc>
        <w:tc>
          <w:tcPr>
            <w:tcW w:type="dxa" w:w="3016"/>
            <w:vAlign w:val="top"/>
            <w:shd w:fill="E0E7FF"/>
          </w:tcPr>
          <w:p>
            <w:pPr>
              <w:spacing w:after="80" w:before="60" w:line="276" w:lineRule="auto"/>
            </w:pPr>
            <w:r>
              <w:rPr>
                <w:b/>
                <w:sz w:val="18"/>
              </w:rPr>
              <w:t>要解决什么</w:t>
            </w:r>
          </w:p>
        </w:tc>
        <w:tc>
          <w:tcPr>
            <w:tcW w:type="dxa" w:w="5449"/>
            <w:vAlign w:val="top"/>
            <w:shd w:fill="E0E7FF"/>
          </w:tcPr>
          <w:p>
            <w:pPr>
              <w:spacing w:after="80" w:before="60" w:line="276" w:lineRule="auto"/>
            </w:pPr>
            <w:r>
              <w:rPr>
                <w:b/>
                <w:sz w:val="18"/>
              </w:rPr>
              <w:t>应向厂商索取什么</w:t>
            </w:r>
          </w:p>
        </w:tc>
      </w:tr>
      <w:tr>
        <w:trPr>
          <w:cantSplit/>
        </w:trPr>
        <w:tc>
          <w:tcPr>
            <w:tcW w:type="dxa" w:w="1427"/>
            <w:vAlign w:val="top"/>
          </w:tcPr>
          <w:p>
            <w:pPr>
              <w:spacing w:after="80" w:before="60" w:line="276" w:lineRule="auto"/>
            </w:pPr>
            <w:r>
              <w:rPr>
                <w:sz w:val="18"/>
              </w:rPr>
              <w:t>LDPC 与数据保护</w:t>
            </w:r>
          </w:p>
        </w:tc>
        <w:tc>
          <w:tcPr>
            <w:tcW w:type="dxa" w:w="3016"/>
            <w:vAlign w:val="top"/>
          </w:tcPr>
          <w:p>
            <w:pPr>
              <w:spacing w:after="80" w:before="60" w:line="276" w:lineRule="auto"/>
            </w:pPr>
            <w:r>
              <w:rPr>
                <w:sz w:val="18"/>
              </w:rPr>
              <w:t>NAND 老化、错误位和内部数据通路风险</w:t>
            </w:r>
          </w:p>
        </w:tc>
        <w:tc>
          <w:tcPr>
            <w:tcW w:type="dxa" w:w="5449"/>
            <w:vAlign w:val="top"/>
          </w:tcPr>
          <w:p>
            <w:pPr>
              <w:spacing w:after="80" w:before="60" w:line="276" w:lineRule="auto"/>
            </w:pPr>
            <w:r>
              <w:rPr>
                <w:sz w:val="18"/>
              </w:rPr>
              <w:t>支持 NAND 世代、寿命末端纠错条件、不可恢复错误指标；不要把纠错能力当作介质零错误。</w:t>
            </w:r>
            <w:hyperlink r:id="rId17">
              <w:r>
                <w:rPr>
                  <w:color w:val="4338CA"/>
                </w:rPr>
                <w:t>[S017]</w:t>
              </w:r>
            </w:hyperlink>
          </w:p>
        </w:tc>
      </w:tr>
      <w:tr>
        <w:trPr>
          <w:cantSplit/>
        </w:trPr>
        <w:tc>
          <w:tcPr>
            <w:tcW w:type="dxa" w:w="1427"/>
            <w:vAlign w:val="top"/>
          </w:tcPr>
          <w:p>
            <w:pPr>
              <w:spacing w:after="80" w:before="60" w:line="276" w:lineRule="auto"/>
            </w:pPr>
            <w:r>
              <w:rPr>
                <w:sz w:val="18"/>
              </w:rPr>
              <w:t>垃圾回收、磨损均衡与 OP</w:t>
            </w:r>
          </w:p>
        </w:tc>
        <w:tc>
          <w:tcPr>
            <w:tcW w:type="dxa" w:w="3016"/>
            <w:vAlign w:val="top"/>
          </w:tcPr>
          <w:p>
            <w:pPr>
              <w:spacing w:after="80" w:before="60" w:line="276" w:lineRule="auto"/>
            </w:pPr>
            <w:r>
              <w:rPr>
                <w:sz w:val="18"/>
              </w:rPr>
              <w:t>块擦除和页写入引发的内部搬迁</w:t>
            </w:r>
          </w:p>
        </w:tc>
        <w:tc>
          <w:tcPr>
            <w:tcW w:type="dxa" w:w="5449"/>
            <w:vAlign w:val="top"/>
          </w:tcPr>
          <w:p>
            <w:pPr>
              <w:spacing w:after="80" w:before="60" w:line="276" w:lineRule="auto"/>
            </w:pPr>
            <w:r>
              <w:rPr>
                <w:sz w:val="18"/>
              </w:rPr>
              <w:t>指定读写比例、盘占用率下的写放大、稳态吞吐与寿命；不把新盘 burst 当长期能力。</w:t>
            </w:r>
            <w:hyperlink r:id="rId21">
              <w:r>
                <w:rPr>
                  <w:color w:val="4338CA"/>
                </w:rPr>
                <w:t>[S018]</w:t>
              </w:r>
            </w:hyperlink>
            <w:hyperlink r:id="rId23">
              <w:r>
                <w:rPr>
                  <w:color w:val="4338CA"/>
                </w:rPr>
                <w:t>[S019]</w:t>
              </w:r>
            </w:hyperlink>
          </w:p>
        </w:tc>
      </w:tr>
      <w:tr>
        <w:trPr>
          <w:cantSplit/>
        </w:trPr>
        <w:tc>
          <w:tcPr>
            <w:tcW w:type="dxa" w:w="1427"/>
            <w:vAlign w:val="top"/>
          </w:tcPr>
          <w:p>
            <w:pPr>
              <w:spacing w:after="80" w:before="60" w:line="276" w:lineRule="auto"/>
            </w:pPr>
            <w:r>
              <w:rPr>
                <w:sz w:val="18"/>
              </w:rPr>
              <w:t>PLP</w:t>
            </w:r>
          </w:p>
        </w:tc>
        <w:tc>
          <w:tcPr>
            <w:tcW w:type="dxa" w:w="3016"/>
            <w:vAlign w:val="top"/>
          </w:tcPr>
          <w:p>
            <w:pPr>
              <w:spacing w:after="80" w:before="60" w:line="276" w:lineRule="auto"/>
            </w:pPr>
            <w:r>
              <w:rPr>
                <w:sz w:val="18"/>
              </w:rPr>
              <w:t>掉电时保护在途数据与 FTL 一致性</w:t>
            </w:r>
          </w:p>
        </w:tc>
        <w:tc>
          <w:tcPr>
            <w:tcW w:type="dxa" w:w="5449"/>
            <w:vAlign w:val="top"/>
          </w:tcPr>
          <w:p>
            <w:pPr>
              <w:spacing w:after="80" w:before="60" w:line="276" w:lineRule="auto"/>
            </w:pPr>
            <w:r>
              <w:rPr>
                <w:sz w:val="18"/>
              </w:rPr>
              <w:t>是否保护已确认写入、用户数据及元数据，断电注入测试条件、电容健康管理；电容与恢复固件需配合。</w:t>
            </w:r>
            <w:hyperlink r:id="rId22">
              <w:r>
                <w:rPr>
                  <w:color w:val="4338CA"/>
                </w:rPr>
                <w:t>[S016]</w:t>
              </w:r>
            </w:hyperlink>
          </w:p>
        </w:tc>
      </w:tr>
      <w:tr>
        <w:trPr>
          <w:cantSplit/>
        </w:trPr>
        <w:tc>
          <w:tcPr>
            <w:tcW w:type="dxa" w:w="1427"/>
            <w:vAlign w:val="top"/>
          </w:tcPr>
          <w:p>
            <w:pPr>
              <w:spacing w:after="80" w:before="60" w:line="276" w:lineRule="auto"/>
            </w:pPr>
            <w:r>
              <w:rPr>
                <w:sz w:val="18"/>
              </w:rPr>
              <w:t>QoS 与调度</w:t>
            </w:r>
          </w:p>
        </w:tc>
        <w:tc>
          <w:tcPr>
            <w:tcW w:type="dxa" w:w="3016"/>
            <w:vAlign w:val="top"/>
          </w:tcPr>
          <w:p>
            <w:pPr>
              <w:spacing w:after="80" w:before="60" w:line="276" w:lineRule="auto"/>
            </w:pPr>
            <w:r>
              <w:rPr>
                <w:sz w:val="18"/>
              </w:rPr>
              <w:t>多队列、后台任务及混合负载下维持响应</w:t>
            </w:r>
          </w:p>
        </w:tc>
        <w:tc>
          <w:tcPr>
            <w:tcW w:type="dxa" w:w="5449"/>
            <w:vAlign w:val="top"/>
          </w:tcPr>
          <w:p>
            <w:pPr>
              <w:spacing w:after="80" w:before="60" w:line="276" w:lineRule="auto"/>
            </w:pPr>
            <w:r>
              <w:rPr>
                <w:sz w:val="18"/>
              </w:rPr>
              <w:t>延迟分布及 p99/p99.9、预处理、容量档、温度、固件；平均值无法表示尾部。</w:t>
            </w:r>
            <w:hyperlink r:id="rId23">
              <w:r>
                <w:rPr>
                  <w:color w:val="4338CA"/>
                </w:rPr>
                <w:t>[S019]</w:t>
              </w:r>
            </w:hyperlink>
            <w:hyperlink r:id="rId32">
              <w:r>
                <w:rPr>
                  <w:color w:val="4338CA"/>
                </w:rPr>
                <w:t>[S023]</w:t>
              </w:r>
            </w:hyperlink>
          </w:p>
        </w:tc>
      </w:tr>
      <w:tr>
        <w:trPr>
          <w:cantSplit/>
        </w:trPr>
        <w:tc>
          <w:tcPr>
            <w:tcW w:type="dxa" w:w="1427"/>
            <w:vAlign w:val="top"/>
          </w:tcPr>
          <w:p>
            <w:pPr>
              <w:spacing w:after="80" w:before="60" w:line="276" w:lineRule="auto"/>
            </w:pPr>
            <w:r>
              <w:rPr>
                <w:sz w:val="18"/>
              </w:rPr>
              <w:t>系统侧写入整形</w:t>
            </w:r>
          </w:p>
        </w:tc>
        <w:tc>
          <w:tcPr>
            <w:tcW w:type="dxa" w:w="3016"/>
            <w:vAlign w:val="top"/>
          </w:tcPr>
          <w:p>
            <w:pPr>
              <w:spacing w:after="80" w:before="60" w:line="276" w:lineRule="auto"/>
            </w:pPr>
            <w:r>
              <w:rPr>
                <w:sz w:val="18"/>
              </w:rPr>
              <w:t>避免小随机写对大 IU QLC 不利</w:t>
            </w:r>
          </w:p>
        </w:tc>
        <w:tc>
          <w:tcPr>
            <w:tcW w:type="dxa" w:w="5449"/>
            <w:vAlign w:val="top"/>
          </w:tcPr>
          <w:p>
            <w:pPr>
              <w:spacing w:after="80" w:before="60" w:line="276" w:lineRule="auto"/>
            </w:pPr>
            <w:r>
              <w:rPr>
                <w:sz w:val="18"/>
              </w:rPr>
              <w:t>应用块大小、IU、缓存层、合并策略和恢复路径；Solidigm CSAL 的公开方案把小写聚合成较大顺序写。</w:t>
            </w:r>
            <w:hyperlink r:id="rId174">
              <w:r>
                <w:rPr>
                  <w:color w:val="4338CA"/>
                </w:rPr>
                <w:t>[S024]</w:t>
              </w:r>
            </w:hyperlink>
            <w:hyperlink r:id="rId20">
              <w:r>
                <w:rPr>
                  <w:color w:val="4338CA"/>
                </w:rPr>
                <w:t>[S025]</w:t>
              </w:r>
            </w:hyperlink>
          </w:p>
        </w:tc>
      </w:tr>
    </w:tbl>
    <w:p>
      <w:pPr>
        <w:spacing w:after="0"/>
      </w:pPr>
    </w:p>
    <w:p>
      <w:pPr/>
      <w:r>
        <w:rPr>
          <w:b/>
        </w:rPr>
        <w:t>耐久的读法。</w:t>
      </w:r>
      <w:r>
        <w:t xml:space="preserve"> DWPD 是每天写入整盘次数，TBW 是生命周期允许的累计主机写入量，二者需连同容量、保修年限和工作负载理解。教学计算：假设 10 TB 可用容量、1 DWPD、5 年且每年 365 天，累计为 18,250 TB；这只是定义推算，不是某款盘承诺。真实比较仍应回到厂商额定测试与盘内写放大。</w:t>
      </w:r>
      <w:hyperlink r:id="rId175">
        <w:r>
          <w:rPr>
            <w:color w:val="4338CA"/>
          </w:rPr>
          <w:t>[S071]</w:t>
        </w:r>
      </w:hyperlink>
    </w:p>
    <w:p>
      <w:pPr/>
      <w:r>
        <w:t>SNIA PTS 提供可比较的固态存储测试方法，强调统一测试环境与预处理。建议活动现场直接索要“满盘、稳态、混合负载、固定功耗下的延迟分布”，并问高温、寿命后段和掉电恢复后是否仍满足同一服务目标。这里是本报告提出的验证清单，不是声称已经完成实测。</w:t>
      </w:r>
      <w:hyperlink r:id="rId23">
        <w:r>
          <w:rPr>
            <w:color w:val="4338CA"/>
          </w:rPr>
          <w:t>[S019]</w:t>
        </w:r>
      </w:hyperlink>
    </w:p>
    <w:p>
      <w:pPr>
        <w:pStyle w:val="Heading2"/>
      </w:pPr>
      <w:r>
        <w:t>从 NAND 成本到每个有效数据任务的成本</w:t>
      </w:r>
    </w:p>
    <w:p>
      <w:pPr/>
      <w:r>
        <w:t>ScaleFlux 的公开产品说明把压缩/解压缩引擎集成到 SSD 控制器，用减少实际写入的方式改善容量使用和盘内工作。这里最容易误读的是“有效容量”：压缩后可装多少数据，取决于数据本身是否可压缩。已经压缩的视频、加密块和高熵数据，不应套用数据库文本的压缩比。</w:t>
      </w:r>
      <w:hyperlink r:id="rId176">
        <w:r>
          <w:rPr>
            <w:color w:val="4338CA"/>
          </w:rPr>
          <w:t>[S021]</w:t>
        </w:r>
      </w:hyperlink>
      <w:hyperlink r:id="rId177">
        <w:r>
          <w:rPr>
            <w:color w:val="4338CA"/>
          </w:rPr>
          <w:t>[S022]</w:t>
        </w:r>
      </w:hyperlink>
    </w:p>
    <w:p>
      <w:pPr/>
      <w:r>
        <w:rPr>
          <w:b/>
        </w:rPr>
        <w:t>研究判断：</w:t>
      </w:r>
      <w:r>
        <w:t xml:space="preserve"> 对压缩 SSD，比较单位应为“给定数据分布下的有效 TB、有效 IOPS 或任务完成成本”，同时报告物理 NAND 容量。现场要求同一原始数据集、相同压缩状态、相同功耗和耐久口径；还要测解压缩是否在读路径形成瓶颈。仅展示零填充数据或压缩友好样本，不能证明普遍优势。</w:t>
      </w:r>
      <w:hyperlink r:id="rId176">
        <w:r>
          <w:rPr>
            <w:color w:val="4338CA"/>
          </w:rPr>
          <w:t>[S021]</w:t>
        </w:r>
      </w:hyperlink>
      <w:hyperlink r:id="rId23">
        <w:r>
          <w:rPr>
            <w:color w:val="4338CA"/>
          </w:rPr>
          <w:t>[S019]</w:t>
        </w:r>
      </w:hyperlink>
    </w:p>
    <w:p>
      <w:pPr/>
      <w:r>
        <w:t>Solidigm 的 CSAL 则说明另一个方向：通过主机/DPU 软件重排写入，降低与 QLC 物理管理单位不匹配的成本。两者的价值来源不同：一个减少字节，一个改变到达介质的写入形态。它们可以互补，但都需要把控制器/DPU 资源、故障恢复与软件运营成本算进账。</w:t>
      </w:r>
      <w:hyperlink r:id="rId174">
        <w:r>
          <w:rPr>
            <w:color w:val="4338CA"/>
          </w:rPr>
          <w:t>[S024]</w:t>
        </w:r>
      </w:hyperlink>
      <w:hyperlink r:id="rId20">
        <w:r>
          <w:rPr>
            <w:color w:val="4338CA"/>
          </w:rPr>
          <w:t>[S025]</w:t>
        </w:r>
      </w:hyperlink>
    </w:p>
    <w:p>
      <w:pPr>
        <w:pStyle w:val="Heading2"/>
      </w:pPr>
      <w:r>
        <w:t>从单机 SSD 到全机架数据通路</w:t>
      </w:r>
    </w:p>
    <w:p>
      <w:pPr/>
      <w:r>
        <w:t>本地路径可以是“SSD → PCIe → GPU 内存”，网络路径可以是“存储节点 → NIC/DPU → 网络 → 计算节点”。GPUDirect Storage 在支持的软硬件条件下减少 CPU 内存 bounce buffer，但 CPU 仍参与准备访问；减少额外复制并未取消 NAND 延迟、PCIe 拓扑或文件系统约束。</w:t>
      </w:r>
      <w:hyperlink r:id="rId153">
        <w:r>
          <w:rPr>
            <w:color w:val="4338CA"/>
          </w:rPr>
          <w:t>[S040]</w:t>
        </w:r>
      </w:hyperlink>
    </w:p>
    <w:p>
      <w:pPr/>
      <w:r>
        <w:t>NVMe-oF 使用与本地 NVMe 相关的命令/队列体系，把访问延伸到网络。官方 transport specifications 分开定义 PCIe、RDMA 和 TCP；NVMe/TCP 利用标准 IP/Ethernet 基础设施。产品写“支持 NVMe”时，要继续确认是在本机 PCIe、远端网络目标，还是仅指其盘的主机接口。</w:t>
      </w:r>
      <w:hyperlink r:id="rId19">
        <w:r>
          <w:rPr>
            <w:color w:val="4338CA"/>
          </w:rPr>
          <w:t>[S020]</w:t>
        </w:r>
      </w:hyperlink>
    </w:p>
    <w:p>
      <w:pPr/>
      <w:r>
        <w:t>2026 年 NVIDIA CMX/STX 设计引入 pod 级 flash context tier，由 BlueField-4、网络及推理框架协同放置和预取 KV cache。其重要性在于把可重算上下文与需要持久保护的企业记录分开处理；本报告视其为厂商参考架构及方案说明，未将宣称的 token 性能倍数视为跨模型独立实测结果。</w:t>
      </w:r>
      <w:hyperlink r:id="rId154">
        <w:r>
          <w:rPr>
            <w:color w:val="4338CA"/>
          </w:rPr>
          <w:t>[S041]</w:t>
        </w:r>
      </w:hyperlink>
    </w:p>
    <w:p>
      <w:pPr/>
      <w:r>
        <w:t>CXL 属于另一种边界：它提供内存语义、一致性与池化/共享能力，不能与 NVMe-oF 画成同一种块存储协议。CXL 2.0 池化侧重把容量分配给不同 host；CXL 3.0 进一步描述多个 host 一致性共享区域。实际可用程度要核对处理器、交换机、内存设备及系统软件。</w:t>
      </w:r>
      <w:hyperlink r:id="rId152">
        <w:r>
          <w:rPr>
            <w:color w:val="4338CA"/>
          </w:rPr>
          <w:t>[S039]</w:t>
        </w:r>
      </w:hyperlink>
    </w:p>
    <w:p>
      <w:pPr>
        <w:pStyle w:val="Heading2"/>
      </w:pPr>
      <w:r>
        <w:t>HBF 和高 IOPS flash 新层级 但尚需产品证据</w:t>
      </w:r>
    </w:p>
    <w:p>
      <w:pPr/>
      <w:r>
        <w:t>Sandisk 与 SK hynix 在 2026 年 8 月经 OCP 发布首份 HBF 技术规格，目标是 HBM 与 SSD 之间的新层。规格发布证明技术协作进入标准化阶段，不能单独证明已有大规模系统采用。2025 年 Sandisk 公布的目标是 2026 年下半年提供初始 HBF 样片、2027 年初提供首批含 HBF 推理设备样片；截至检索，本节不把目标日期自动转成已完成交付。</w:t>
      </w:r>
      <w:hyperlink r:id="rId178">
        <w:r>
          <w:rPr>
            <w:color w:val="4338CA"/>
          </w:rPr>
          <w:t>[S042]</w:t>
        </w:r>
      </w:hyperlink>
      <w:hyperlink r:id="rId179">
        <w:r>
          <w:rPr>
            <w:color w:val="4338CA"/>
          </w:rPr>
          <w:t>[S043]</w:t>
        </w:r>
      </w:hyperlink>
    </w:p>
    <w:p>
      <w:pPr/>
      <w:r>
        <w:t>Kioxia 的 GP Series 是另一条路线：2026 年 3 月宣布开发让 GPU 访问 flash 的 Super High IOPS SSD，并计划 2026 年底向特定客户提供评估样片。对这类产品，需要继续看访问粒度、控制器、读写语义、耐久、软件改造及实际延迟，而不是将“HBM 扩展”理解为与 HBM 完全等价。</w:t>
      </w:r>
      <w:hyperlink r:id="rId180">
        <w:r>
          <w:rPr>
            <w:color w:val="4338CA"/>
          </w:rPr>
          <w:t>[S044]</w:t>
        </w:r>
      </w:hyperlink>
    </w:p>
    <w:p>
      <w:pPr/>
      <w:r>
        <w:rPr>
          <w:b/>
        </w:rPr>
        <w:t>研究判断：</w:t>
      </w:r>
      <w:r>
        <w:t xml:space="preserve"> HBF、KV cache flash tier 与更快 SSD 可能分担冷权重、可复用上下文或检查点等不同任务。判断替代关系要画出“读取谁、写入谁、是否可重算、是否需随机小写”的数据流；用统一“AI memory”估值，会把研发样片与已认证量产混在一起。</w:t>
      </w:r>
      <w:hyperlink r:id="rId154">
        <w:r>
          <w:rPr>
            <w:color w:val="4338CA"/>
          </w:rPr>
          <w:t>[S041]</w:t>
        </w:r>
      </w:hyperlink>
      <w:hyperlink r:id="rId178">
        <w:r>
          <w:rPr>
            <w:color w:val="4338CA"/>
          </w:rPr>
          <w:t>[S042]</w:t>
        </w:r>
      </w:hyperlink>
      <w:hyperlink r:id="rId180">
        <w:r>
          <w:rPr>
            <w:color w:val="4338CA"/>
          </w:rPr>
          <w:t>[S044]</w:t>
        </w:r>
      </w:hyperlink>
    </w:p>
    <w:p>
      <w:pPr>
        <w:pStyle w:val="Heading2"/>
      </w:pPr>
      <w:r>
        <w:t>HDD 磁性材料、光子和机械控制的复合技术</w:t>
      </w:r>
    </w:p>
    <w:p>
      <w:pPr/>
      <w:r>
        <w:t>HAMR 的核心矛盾是：更小磁粒需要更强的磁稳定性，但更强的材料又更难写入。Seagate 的公开 Mozaic 技术采用高磁各向异性 FePt 介质、特制玻璃基底上的薄膜/退火工艺，并以近场光热写入路径配合读写头。这里的激光/光子器件服务磁记录，不能与数据中心光模块直接视作同一市场。</w:t>
      </w:r>
      <w:hyperlink r:id="rId163">
        <w:r>
          <w:rPr>
            <w:color w:val="4338CA"/>
          </w:rPr>
          <w:t>[S046]</w:t>
        </w:r>
      </w:hyperlink>
    </w:p>
    <w:p>
      <w:pPr/>
      <w:r>
        <w:t>2026 年 3 月 Seagate 宣布最高 44 TB 的 Mozaic 4+ 已向两家 hyperscaler 批量出货，并披露自研制造激光技术。该容量与客户范围是公司声明；没有据此认定零售渠道普遍可买。WD 则在 2026 年 2 月披露 40 TB UltraSMR ePMR 正处客户认证、计划下半年量产，并继续并行 ePMR/HAMR 路线；当时计划不等于检索日已全部兑现。</w:t>
      </w:r>
      <w:hyperlink r:id="rId159">
        <w:r>
          <w:rPr>
            <w:color w:val="4338CA"/>
          </w:rPr>
          <w:t>[S045]</w:t>
        </w:r>
      </w:hyperlink>
      <w:hyperlink r:id="rId160">
        <w:r>
          <w:rPr>
            <w:color w:val="4338CA"/>
          </w:rPr>
          <w:t>[S047]</w:t>
        </w:r>
      </w:hyperlink>
    </w:p>
    <w:p>
      <w:pPr/>
      <w:r>
        <w:t>日本 Toshiba 公开 FC-MAMR 路线，说明磁记录增密可以使用不同辅助写入方法。投资验证应分别看介质、磁头、近场/微波辅助、伺服、振动、良率及客户认证，而非假设所有 HDD 厂商在相同时间采用同一平台。</w:t>
      </w:r>
      <w:hyperlink r:id="rId181">
        <w:r>
          <w:rPr>
            <w:color w:val="4338CA"/>
          </w:rPr>
          <w:t>[S048]</w:t>
        </w:r>
      </w:hyperlink>
    </w:p>
    <w:p>
      <w:pPr/>
      <w:r>
        <w:rPr>
          <w:b/>
        </w:rPr>
        <w:t>研究判断：</w:t>
      </w:r>
      <w:r>
        <w:t xml:space="preserve"> 更高 TB/drive 会降低某些容量部署所需盘位，却可能增加单位盘承载的数据及故障重建压力。HDD 与 SSD 的竞争必须固定容量、可用带宽、冗余、故障域、空间和电费，不能只比裸盘美元/TB；本报告未制作缺少当前成交价的 TCO 结论。</w:t>
      </w:r>
      <w:hyperlink r:id="rId159">
        <w:r>
          <w:rPr>
            <w:color w:val="4338CA"/>
          </w:rPr>
          <w:t>[S045]</w:t>
        </w:r>
      </w:hyperlink>
      <w:hyperlink r:id="rId23">
        <w:r>
          <w:rPr>
            <w:color w:val="4338CA"/>
          </w:rPr>
          <w:t>[S019]</w:t>
        </w:r>
      </w:hyperlink>
    </w:p>
    <w:p>
      <w:pPr>
        <w:pStyle w:val="Heading2"/>
      </w:pPr>
      <w:r>
        <w:t>磁带 容量、介质与恢复流程共同构成产品</w:t>
      </w:r>
    </w:p>
    <w:p>
      <w:pPr/>
      <w:r>
        <w:t>IBM 当前文档列有 LTO-10 的 30 TB、40 TB 原生容量，压缩容量分别按 2.5:1 标为 75 TB、100 TB。已压缩或加密数据不能假定再达到该压缩比。“100 TB 磁带”必须注明压缩假设，不能与 100 TB 原生盘直接并列比较。</w:t>
      </w:r>
      <w:hyperlink r:id="rId161">
        <w:r>
          <w:rPr>
            <w:color w:val="4338CA"/>
          </w:rPr>
          <w:t>[S049]</w:t>
        </w:r>
      </w:hyperlink>
      <w:hyperlink r:id="rId182">
        <w:r>
          <w:rPr>
            <w:color w:val="4338CA"/>
          </w:rPr>
          <w:t>[S069]</w:t>
        </w:r>
      </w:hyperlink>
    </w:p>
    <w:p>
      <w:pPr/>
      <w:r>
        <w:t>带库的价值来自介质、磁头/驱动、机械取带、目录和恢复运维协同。对 AI 数据档案，可把读取频率低但需要长期保留的数据纳入候选；需要即时随机访问的热数据则不能只按磁带介质容量来选型。离线副本是否有效仍取决于恢复演练、目录保留、密钥和代际迁移。</w:t>
      </w:r>
      <w:hyperlink r:id="rId161">
        <w:r>
          <w:rPr>
            <w:color w:val="4338CA"/>
          </w:rPr>
          <w:t>[S049]</w:t>
        </w:r>
      </w:hyperlink>
    </w:p>
    <w:p>
      <w:pPr>
        <w:pStyle w:val="Heading1"/>
        <w:pageBreakBefore/>
      </w:pPr>
      <w:r>
        <w:t>04B  存储公司版图与可验证的投资问题</w:t>
      </w:r>
    </w:p>
    <w:p>
      <w:pPr>
        <w:pStyle w:val="Heading2"/>
      </w:pPr>
      <w:r>
        <w:t>按能力归位 再看公司所在地</w:t>
      </w:r>
    </w:p>
    <w:p>
      <w:pPr/>
      <w:r>
        <w:t>下表是已核实公开业务的代表性产业地图，不是市占率排名或所有公司的穷尽清单。“美国公司”“韩国集团”“中国台湾业务”描述企业主要身份/业务根基；它不等于晶圆、封装、客户和材料全部来自当地。</w:t>
      </w:r>
    </w:p>
    <w:tbl>
      <w:tblPr>
        <w:tblW w:type="auto" w:w="0"/>
        <w:jc w:val="center"/>
        <w:tblLayout w:type="fixed"/>
        <w:tblLook w:firstColumn="1" w:firstRow="1" w:lastColumn="0" w:lastRow="0" w:noHBand="0" w:noVBand="1" w:val="04A0"/>
      </w:tblPr>
      <w:tblGrid>
        <w:gridCol w:w="833"/>
        <w:gridCol w:w="2265"/>
        <w:gridCol w:w="2265"/>
        <w:gridCol w:w="2265"/>
        <w:gridCol w:w="2265"/>
      </w:tblGrid>
      <w:tr>
        <w:trPr>
          <w:tblHeader/>
        </w:trPr>
        <w:tc>
          <w:tcPr>
            <w:tcW w:type="dxa" w:w="833"/>
            <w:vAlign w:val="top"/>
            <w:shd w:fill="E0E7FF"/>
          </w:tcPr>
          <w:p>
            <w:pPr>
              <w:spacing w:after="80" w:before="60" w:line="276" w:lineRule="auto"/>
            </w:pPr>
            <w:r>
              <w:rPr>
                <w:b/>
                <w:sz w:val="16"/>
              </w:rPr>
              <w:t>产业位置</w:t>
            </w:r>
          </w:p>
        </w:tc>
        <w:tc>
          <w:tcPr>
            <w:tcW w:type="dxa" w:w="2265"/>
            <w:vAlign w:val="top"/>
            <w:shd w:fill="E0E7FF"/>
          </w:tcPr>
          <w:p>
            <w:pPr>
              <w:spacing w:after="80" w:before="60" w:line="276" w:lineRule="auto"/>
            </w:pPr>
            <w:r>
              <w:rPr>
                <w:b/>
                <w:sz w:val="16"/>
              </w:rPr>
              <w:t>中国大陆</w:t>
            </w:r>
          </w:p>
        </w:tc>
        <w:tc>
          <w:tcPr>
            <w:tcW w:type="dxa" w:w="2265"/>
            <w:vAlign w:val="top"/>
            <w:shd w:fill="E0E7FF"/>
          </w:tcPr>
          <w:p>
            <w:pPr>
              <w:spacing w:after="80" w:before="60" w:line="276" w:lineRule="auto"/>
            </w:pPr>
            <w:r>
              <w:rPr>
                <w:b/>
                <w:sz w:val="16"/>
              </w:rPr>
              <w:t>美国及跨区域集团</w:t>
            </w:r>
          </w:p>
        </w:tc>
        <w:tc>
          <w:tcPr>
            <w:tcW w:type="dxa" w:w="2265"/>
            <w:vAlign w:val="top"/>
            <w:shd w:fill="E0E7FF"/>
          </w:tcPr>
          <w:p>
            <w:pPr>
              <w:spacing w:after="80" w:before="60" w:line="276" w:lineRule="auto"/>
            </w:pPr>
            <w:r>
              <w:rPr>
                <w:b/>
                <w:sz w:val="16"/>
              </w:rPr>
              <w:t>其他主要地区</w:t>
            </w:r>
          </w:p>
        </w:tc>
        <w:tc>
          <w:tcPr>
            <w:tcW w:type="dxa" w:w="2265"/>
            <w:vAlign w:val="top"/>
            <w:shd w:fill="E0E7FF"/>
          </w:tcPr>
          <w:p>
            <w:pPr>
              <w:spacing w:after="80" w:before="60" w:line="276" w:lineRule="auto"/>
            </w:pPr>
            <w:r>
              <w:rPr>
                <w:b/>
                <w:sz w:val="16"/>
              </w:rPr>
              <w:t>现场必须区分的能力</w:t>
            </w:r>
          </w:p>
        </w:tc>
      </w:tr>
      <w:tr>
        <w:trPr>
          <w:cantSplit/>
        </w:trPr>
        <w:tc>
          <w:tcPr>
            <w:tcW w:type="dxa" w:w="833"/>
            <w:vAlign w:val="top"/>
          </w:tcPr>
          <w:p>
            <w:pPr>
              <w:spacing w:after="80" w:before="60" w:line="276" w:lineRule="auto"/>
            </w:pPr>
            <w:r>
              <w:rPr>
                <w:sz w:val="16"/>
              </w:rPr>
              <w:t>大容量 3D NAND 器件与制造</w:t>
            </w:r>
          </w:p>
        </w:tc>
        <w:tc>
          <w:tcPr>
            <w:tcW w:type="dxa" w:w="2265"/>
            <w:vAlign w:val="top"/>
          </w:tcPr>
          <w:p>
            <w:pPr>
              <w:spacing w:after="80" w:before="60" w:line="276" w:lineRule="auto"/>
            </w:pPr>
            <w:r>
              <w:rPr>
                <w:sz w:val="16"/>
              </w:rPr>
              <w:t>长江存储 YMTC：Xtacking 阵列/外围分开加工与连接。</w:t>
            </w:r>
            <w:hyperlink r:id="rId26">
              <w:r>
                <w:rPr>
                  <w:color w:val="4338CA"/>
                </w:rPr>
                <w:t>[S007]</w:t>
              </w:r>
            </w:hyperlink>
          </w:p>
        </w:tc>
        <w:tc>
          <w:tcPr>
            <w:tcW w:type="dxa" w:w="2265"/>
            <w:vAlign w:val="top"/>
          </w:tcPr>
          <w:p>
            <w:pPr>
              <w:spacing w:after="80" w:before="60" w:line="276" w:lineRule="auto"/>
            </w:pPr>
            <w:r>
              <w:rPr>
                <w:sz w:val="16"/>
              </w:rPr>
              <w:t>Micron：G9 3D TLC NAND；Sandisk：与 Kioxia 联合开发 BiCS。</w:t>
            </w:r>
            <w:hyperlink r:id="rId183">
              <w:r>
                <w:rPr>
                  <w:color w:val="4338CA"/>
                </w:rPr>
                <w:t>[S015]</w:t>
              </w:r>
            </w:hyperlink>
            <w:hyperlink r:id="rId184">
              <w:r>
                <w:rPr>
                  <w:color w:val="4338CA"/>
                </w:rPr>
                <w:t>[S014]</w:t>
              </w:r>
            </w:hyperlink>
          </w:p>
        </w:tc>
        <w:tc>
          <w:tcPr>
            <w:tcW w:type="dxa" w:w="2265"/>
            <w:vAlign w:val="top"/>
          </w:tcPr>
          <w:p>
            <w:pPr>
              <w:spacing w:after="80" w:before="60" w:line="276" w:lineRule="auto"/>
            </w:pPr>
            <w:r>
              <w:rPr>
                <w:sz w:val="16"/>
              </w:rPr>
              <w:t>韩国 Samsung、SK hynix；日本 Kioxia。</w:t>
            </w:r>
            <w:hyperlink r:id="rId185">
              <w:r>
                <w:rPr>
                  <w:color w:val="4338CA"/>
                </w:rPr>
                <w:t>[S061]</w:t>
              </w:r>
            </w:hyperlink>
            <w:hyperlink r:id="rId178">
              <w:r>
                <w:rPr>
                  <w:color w:val="4338CA"/>
                </w:rPr>
                <w:t>[S042]</w:t>
              </w:r>
            </w:hyperlink>
            <w:hyperlink r:id="rId18">
              <w:r>
                <w:rPr>
                  <w:color w:val="4338CA"/>
                </w:rPr>
                <w:t>[S013]</w:t>
              </w:r>
            </w:hyperlink>
          </w:p>
        </w:tc>
        <w:tc>
          <w:tcPr>
            <w:tcW w:type="dxa" w:w="2265"/>
            <w:vAlign w:val="top"/>
          </w:tcPr>
          <w:p>
            <w:pPr>
              <w:spacing w:after="80" w:before="60" w:line="276" w:lineRule="auto"/>
            </w:pPr>
            <w:r>
              <w:rPr>
                <w:sz w:val="16"/>
              </w:rPr>
              <w:t>NAND 设计/制造、样片与量产、良品 bit 成本；不能只按扩层宣传排名。</w:t>
            </w:r>
          </w:p>
        </w:tc>
      </w:tr>
      <w:tr>
        <w:trPr>
          <w:cantSplit/>
        </w:trPr>
        <w:tc>
          <w:tcPr>
            <w:tcW w:type="dxa" w:w="833"/>
            <w:vAlign w:val="top"/>
          </w:tcPr>
          <w:p>
            <w:pPr>
              <w:spacing w:after="80" w:before="60" w:line="276" w:lineRule="auto"/>
            </w:pPr>
            <w:r>
              <w:rPr>
                <w:sz w:val="16"/>
              </w:rPr>
              <w:t>HBM 与领先 DRAM</w:t>
            </w:r>
          </w:p>
        </w:tc>
        <w:tc>
          <w:tcPr>
            <w:tcW w:type="dxa" w:w="2265"/>
            <w:vAlign w:val="top"/>
          </w:tcPr>
          <w:p>
            <w:pPr>
              <w:spacing w:after="80" w:before="60" w:line="276" w:lineRule="auto"/>
            </w:pPr>
            <w:r>
              <w:rPr>
                <w:sz w:val="16"/>
              </w:rPr>
              <w:t>CXMT 官网有 DDR5、LPDDR 系列布局；本报告不据此声称其有同等 HBM 量产。</w:t>
            </w:r>
            <w:hyperlink r:id="rId169">
              <w:r>
                <w:rPr>
                  <w:color w:val="4338CA"/>
                </w:rPr>
                <w:t>[S033]</w:t>
              </w:r>
            </w:hyperlink>
          </w:p>
        </w:tc>
        <w:tc>
          <w:tcPr>
            <w:tcW w:type="dxa" w:w="2265"/>
            <w:vAlign w:val="top"/>
          </w:tcPr>
          <w:p>
            <w:pPr>
              <w:spacing w:after="80" w:before="60" w:line="276" w:lineRule="auto"/>
            </w:pPr>
            <w:r>
              <w:rPr>
                <w:sz w:val="16"/>
              </w:rPr>
              <w:t>Micron：HBM4、主存及存储产品。</w:t>
            </w:r>
            <w:hyperlink r:id="rId157">
              <w:r>
                <w:rPr>
                  <w:color w:val="4338CA"/>
                </w:rPr>
                <w:t>[S027]</w:t>
              </w:r>
            </w:hyperlink>
          </w:p>
        </w:tc>
        <w:tc>
          <w:tcPr>
            <w:tcW w:type="dxa" w:w="2265"/>
            <w:vAlign w:val="top"/>
          </w:tcPr>
          <w:p>
            <w:pPr>
              <w:spacing w:after="80" w:before="60" w:line="276" w:lineRule="auto"/>
            </w:pPr>
            <w:r>
              <w:rPr>
                <w:sz w:val="16"/>
              </w:rPr>
              <w:t>韩国 SK hynix/Samsung；中国台湾 Nanya 及利基型 Winbond。</w:t>
            </w:r>
            <w:hyperlink r:id="rId156">
              <w:r>
                <w:rPr>
                  <w:color w:val="4338CA"/>
                </w:rPr>
                <w:t>[S028]</w:t>
              </w:r>
            </w:hyperlink>
            <w:hyperlink r:id="rId168">
              <w:r>
                <w:rPr>
                  <w:color w:val="4338CA"/>
                </w:rPr>
                <w:t>[S029]</w:t>
              </w:r>
            </w:hyperlink>
            <w:hyperlink r:id="rId170">
              <w:r>
                <w:rPr>
                  <w:color w:val="4338CA"/>
                </w:rPr>
                <w:t>[S034]</w:t>
              </w:r>
            </w:hyperlink>
            <w:hyperlink r:id="rId171">
              <w:r>
                <w:rPr>
                  <w:color w:val="4338CA"/>
                </w:rPr>
                <w:t>[S035]</w:t>
              </w:r>
            </w:hyperlink>
          </w:p>
        </w:tc>
        <w:tc>
          <w:tcPr>
            <w:tcW w:type="dxa" w:w="2265"/>
            <w:vAlign w:val="top"/>
          </w:tcPr>
          <w:p>
            <w:pPr>
              <w:spacing w:after="80" w:before="60" w:line="276" w:lineRule="auto"/>
            </w:pPr>
            <w:r>
              <w:rPr>
                <w:sz w:val="16"/>
              </w:rPr>
              <w:t>“能做 DRAM”与 HBM 堆叠、可靠性、客户资格的差别。</w:t>
            </w:r>
          </w:p>
        </w:tc>
      </w:tr>
      <w:tr>
        <w:trPr>
          <w:cantSplit/>
        </w:trPr>
        <w:tc>
          <w:tcPr>
            <w:tcW w:type="dxa" w:w="833"/>
            <w:vAlign w:val="top"/>
          </w:tcPr>
          <w:p>
            <w:pPr>
              <w:spacing w:after="80" w:before="60" w:line="276" w:lineRule="auto"/>
            </w:pPr>
            <w:r>
              <w:rPr>
                <w:sz w:val="16"/>
              </w:rPr>
              <w:t>NAND/SSD 主控与固件</w:t>
            </w:r>
          </w:p>
        </w:tc>
        <w:tc>
          <w:tcPr>
            <w:tcW w:type="dxa" w:w="2265"/>
            <w:vAlign w:val="top"/>
          </w:tcPr>
          <w:p>
            <w:pPr>
              <w:spacing w:after="80" w:before="60" w:line="276" w:lineRule="auto"/>
            </w:pPr>
            <w:r>
              <w:rPr>
                <w:sz w:val="16"/>
              </w:rPr>
              <w:t>联芸 MAXIO：MAP1602-C 为客户端 DRAM-less PCIe4×4/NVMe2.0 主控；该资料不证明企业盘认证。</w:t>
            </w:r>
            <w:hyperlink r:id="rId186">
              <w:r>
                <w:rPr>
                  <w:color w:val="4338CA"/>
                </w:rPr>
                <w:t>[R060]</w:t>
              </w:r>
            </w:hyperlink>
          </w:p>
        </w:tc>
        <w:tc>
          <w:tcPr>
            <w:tcW w:type="dxa" w:w="2265"/>
            <w:vAlign w:val="top"/>
          </w:tcPr>
          <w:p>
            <w:pPr>
              <w:spacing w:after="80" w:before="60" w:line="276" w:lineRule="auto"/>
            </w:pPr>
            <w:r>
              <w:rPr>
                <w:sz w:val="16"/>
              </w:rPr>
              <w:t>美国/跨区域的 ScaleFlux、InnoGrit 等提供控制器或 SSD 方案。</w:t>
            </w:r>
            <w:hyperlink r:id="rId176">
              <w:r>
                <w:rPr>
                  <w:color w:val="4338CA"/>
                </w:rPr>
                <w:t>[S021]</w:t>
              </w:r>
            </w:hyperlink>
            <w:hyperlink r:id="rId187">
              <w:r>
                <w:rPr>
                  <w:color w:val="4338CA"/>
                </w:rPr>
                <w:t>[S065]</w:t>
              </w:r>
            </w:hyperlink>
          </w:p>
        </w:tc>
        <w:tc>
          <w:tcPr>
            <w:tcW w:type="dxa" w:w="2265"/>
            <w:vAlign w:val="top"/>
          </w:tcPr>
          <w:p>
            <w:pPr>
              <w:spacing w:after="80" w:before="60" w:line="276" w:lineRule="auto"/>
            </w:pPr>
            <w:r>
              <w:rPr>
                <w:sz w:val="16"/>
              </w:rPr>
              <w:t>中国台湾 Phison、慧荣的产品资料可核控制器架构、代工及纠错功能。</w:t>
            </w:r>
            <w:hyperlink r:id="rId17">
              <w:r>
                <w:rPr>
                  <w:color w:val="4338CA"/>
                </w:rPr>
                <w:t>[S017]</w:t>
              </w:r>
            </w:hyperlink>
            <w:hyperlink r:id="rId188">
              <w:r>
                <w:rPr>
                  <w:color w:val="4338CA"/>
                </w:rPr>
                <w:t>[S064]</w:t>
              </w:r>
            </w:hyperlink>
          </w:p>
        </w:tc>
        <w:tc>
          <w:tcPr>
            <w:tcW w:type="dxa" w:w="2265"/>
            <w:vAlign w:val="top"/>
          </w:tcPr>
          <w:p>
            <w:pPr>
              <w:spacing w:after="80" w:before="60" w:line="276" w:lineRule="auto"/>
            </w:pPr>
            <w:r>
              <w:rPr>
                <w:sz w:val="16"/>
              </w:rPr>
              <w:t>是自研 ASIC、外购主控、固件定制，还是仅做 PCB/品牌销售。</w:t>
            </w:r>
          </w:p>
        </w:tc>
      </w:tr>
      <w:tr>
        <w:trPr>
          <w:cantSplit/>
        </w:trPr>
        <w:tc>
          <w:tcPr>
            <w:tcW w:type="dxa" w:w="833"/>
            <w:vAlign w:val="top"/>
          </w:tcPr>
          <w:p>
            <w:pPr>
              <w:spacing w:after="80" w:before="60" w:line="276" w:lineRule="auto"/>
            </w:pPr>
            <w:r>
              <w:rPr>
                <w:sz w:val="16"/>
              </w:rPr>
              <w:t>企业级 SSD 产品</w:t>
            </w:r>
          </w:p>
        </w:tc>
        <w:tc>
          <w:tcPr>
            <w:tcW w:type="dxa" w:w="2265"/>
            <w:vAlign w:val="top"/>
          </w:tcPr>
          <w:p>
            <w:pPr>
              <w:spacing w:after="80" w:before="60" w:line="276" w:lineRule="auto"/>
            </w:pPr>
            <w:r>
              <w:rPr>
                <w:sz w:val="16"/>
              </w:rPr>
              <w:t>忆恒创源 Memblaze：PBlaze 企业 SSD。</w:t>
            </w:r>
            <w:hyperlink r:id="rId189">
              <w:r>
                <w:rPr>
                  <w:color w:val="4338CA"/>
                </w:rPr>
                <w:t>[S063]</w:t>
              </w:r>
            </w:hyperlink>
          </w:p>
        </w:tc>
        <w:tc>
          <w:tcPr>
            <w:tcW w:type="dxa" w:w="2265"/>
            <w:vAlign w:val="top"/>
          </w:tcPr>
          <w:p>
            <w:pPr>
              <w:spacing w:after="80" w:before="60" w:line="276" w:lineRule="auto"/>
            </w:pPr>
            <w:r>
              <w:rPr>
                <w:sz w:val="16"/>
              </w:rPr>
              <w:t>Solidigm、Micron、Sandisk、ScaleFlux。</w:t>
            </w:r>
            <w:hyperlink r:id="rId32">
              <w:r>
                <w:rPr>
                  <w:color w:val="4338CA"/>
                </w:rPr>
                <w:t>[S023]</w:t>
              </w:r>
            </w:hyperlink>
            <w:hyperlink r:id="rId157">
              <w:r>
                <w:rPr>
                  <w:color w:val="4338CA"/>
                </w:rPr>
                <w:t>[S027]</w:t>
              </w:r>
            </w:hyperlink>
            <w:hyperlink r:id="rId179">
              <w:r>
                <w:rPr>
                  <w:color w:val="4338CA"/>
                </w:rPr>
                <w:t>[S043]</w:t>
              </w:r>
            </w:hyperlink>
            <w:hyperlink r:id="rId177">
              <w:r>
                <w:rPr>
                  <w:color w:val="4338CA"/>
                </w:rPr>
                <w:t>[S022]</w:t>
              </w:r>
            </w:hyperlink>
          </w:p>
        </w:tc>
        <w:tc>
          <w:tcPr>
            <w:tcW w:type="dxa" w:w="2265"/>
            <w:vAlign w:val="top"/>
          </w:tcPr>
          <w:p>
            <w:pPr>
              <w:spacing w:after="80" w:before="60" w:line="276" w:lineRule="auto"/>
            </w:pPr>
            <w:r>
              <w:rPr>
                <w:sz w:val="16"/>
              </w:rPr>
              <w:t>Samsung、Kioxia；Phison Pascari 为企业 SSD 产品路线。</w:t>
            </w:r>
            <w:hyperlink r:id="rId185">
              <w:r>
                <w:rPr>
                  <w:color w:val="4338CA"/>
                </w:rPr>
                <w:t>[S061]</w:t>
              </w:r>
            </w:hyperlink>
            <w:hyperlink r:id="rId180">
              <w:r>
                <w:rPr>
                  <w:color w:val="4338CA"/>
                </w:rPr>
                <w:t>[S044]</w:t>
              </w:r>
            </w:hyperlink>
            <w:hyperlink r:id="rId188">
              <w:r>
                <w:rPr>
                  <w:color w:val="4338CA"/>
                </w:rPr>
                <w:t>[S064]</w:t>
              </w:r>
            </w:hyperlink>
          </w:p>
        </w:tc>
        <w:tc>
          <w:tcPr>
            <w:tcW w:type="dxa" w:w="2265"/>
            <w:vAlign w:val="top"/>
          </w:tcPr>
          <w:p>
            <w:pPr>
              <w:spacing w:after="80" w:before="60" w:line="276" w:lineRule="auto"/>
            </w:pPr>
            <w:r>
              <w:rPr>
                <w:sz w:val="16"/>
              </w:rPr>
              <w:t>NAND 来源、固件责任、PLP、QoS、供货承诺与认证范围。</w:t>
            </w:r>
          </w:p>
        </w:tc>
      </w:tr>
      <w:tr>
        <w:trPr>
          <w:cantSplit/>
        </w:trPr>
        <w:tc>
          <w:tcPr>
            <w:tcW w:type="dxa" w:w="833"/>
            <w:vAlign w:val="top"/>
          </w:tcPr>
          <w:p>
            <w:pPr>
              <w:spacing w:after="80" w:before="60" w:line="276" w:lineRule="auto"/>
            </w:pPr>
            <w:r>
              <w:rPr>
                <w:sz w:val="16"/>
              </w:rPr>
              <w:t>内存接口芯片</w:t>
            </w:r>
          </w:p>
        </w:tc>
        <w:tc>
          <w:tcPr>
            <w:tcW w:type="dxa" w:w="2265"/>
            <w:vAlign w:val="top"/>
          </w:tcPr>
          <w:p>
            <w:pPr>
              <w:spacing w:after="80" w:before="60" w:line="276" w:lineRule="auto"/>
            </w:pPr>
            <w:r>
              <w:rPr>
                <w:sz w:val="16"/>
              </w:rPr>
              <w:t>澜起科技。</w:t>
            </w:r>
            <w:hyperlink r:id="rId166">
              <w:r>
                <w:rPr>
                  <w:color w:val="4338CA"/>
                </w:rPr>
                <w:t>[S037]</w:t>
              </w:r>
            </w:hyperlink>
          </w:p>
        </w:tc>
        <w:tc>
          <w:tcPr>
            <w:tcW w:type="dxa" w:w="2265"/>
            <w:vAlign w:val="top"/>
          </w:tcPr>
          <w:p>
            <w:pPr>
              <w:spacing w:after="80" w:before="60" w:line="276" w:lineRule="auto"/>
            </w:pPr>
            <w:r>
              <w:rPr>
                <w:sz w:val="16"/>
              </w:rPr>
              <w:t>Rambus。</w:t>
            </w:r>
            <w:hyperlink r:id="rId158">
              <w:r>
                <w:rPr>
                  <w:color w:val="4338CA"/>
                </w:rPr>
                <w:t>[S036]</w:t>
              </w:r>
            </w:hyperlink>
          </w:p>
        </w:tc>
        <w:tc>
          <w:tcPr>
            <w:tcW w:type="dxa" w:w="2265"/>
            <w:vAlign w:val="top"/>
          </w:tcPr>
          <w:p>
            <w:pPr>
              <w:spacing w:after="80" w:before="60" w:line="276" w:lineRule="auto"/>
            </w:pPr>
            <w:r>
              <w:rPr>
                <w:sz w:val="16"/>
              </w:rPr>
              <w:t>Renesas，日本。</w:t>
            </w:r>
            <w:hyperlink r:id="rId167">
              <w:r>
                <w:rPr>
                  <w:color w:val="4338CA"/>
                </w:rPr>
                <w:t>[S038]</w:t>
              </w:r>
            </w:hyperlink>
          </w:p>
        </w:tc>
        <w:tc>
          <w:tcPr>
            <w:tcW w:type="dxa" w:w="2265"/>
            <w:vAlign w:val="top"/>
          </w:tcPr>
          <w:p>
            <w:pPr>
              <w:spacing w:after="80" w:before="60" w:line="276" w:lineRule="auto"/>
            </w:pPr>
            <w:r>
              <w:rPr>
                <w:sz w:val="16"/>
              </w:rPr>
              <w:t>RCD、DB、MRCD/MDB、PMIC、SPD、TS 逐项核对；与 DRAM 晶圆生产分开。</w:t>
            </w:r>
          </w:p>
        </w:tc>
      </w:tr>
      <w:tr>
        <w:trPr>
          <w:cantSplit/>
        </w:trPr>
        <w:tc>
          <w:tcPr>
            <w:tcW w:type="dxa" w:w="833"/>
            <w:vAlign w:val="top"/>
          </w:tcPr>
          <w:p>
            <w:pPr>
              <w:spacing w:after="80" w:before="60" w:line="276" w:lineRule="auto"/>
            </w:pPr>
            <w:r>
              <w:rPr>
                <w:sz w:val="16"/>
              </w:rPr>
              <w:t>高深宽比工艺设备</w:t>
            </w:r>
          </w:p>
        </w:tc>
        <w:tc>
          <w:tcPr>
            <w:tcW w:type="dxa" w:w="2265"/>
            <w:vAlign w:val="top"/>
          </w:tcPr>
          <w:p>
            <w:pPr>
              <w:spacing w:after="80" w:before="60" w:line="276" w:lineRule="auto"/>
            </w:pPr>
            <w:r>
              <w:rPr>
                <w:sz w:val="16"/>
              </w:rPr>
              <w:t>中国供应商详见制造设备章；此处不由产品类别反推某 NAND 厂实际订单</w:t>
            </w:r>
          </w:p>
        </w:tc>
        <w:tc>
          <w:tcPr>
            <w:tcW w:type="dxa" w:w="2265"/>
            <w:vAlign w:val="top"/>
          </w:tcPr>
          <w:p>
            <w:pPr>
              <w:spacing w:after="80" w:before="60" w:line="276" w:lineRule="auto"/>
            </w:pPr>
            <w:r>
              <w:rPr>
                <w:sz w:val="16"/>
              </w:rPr>
              <w:t>Lam、Applied Materials。</w:t>
            </w:r>
            <w:hyperlink r:id="rId50">
              <w:r>
                <w:rPr>
                  <w:color w:val="4338CA"/>
                </w:rPr>
                <w:t>[S005]</w:t>
              </w:r>
            </w:hyperlink>
            <w:hyperlink r:id="rId34">
              <w:r>
                <w:rPr>
                  <w:color w:val="4338CA"/>
                </w:rPr>
                <w:t>[S006]</w:t>
              </w:r>
            </w:hyperlink>
          </w:p>
        </w:tc>
        <w:tc>
          <w:tcPr>
            <w:tcW w:type="dxa" w:w="2265"/>
            <w:vAlign w:val="top"/>
          </w:tcPr>
          <w:p>
            <w:pPr>
              <w:spacing w:after="80" w:before="60" w:line="276" w:lineRule="auto"/>
            </w:pPr>
            <w:r>
              <w:rPr>
                <w:sz w:val="16"/>
              </w:rPr>
              <w:t>TEL，日本；ASM，荷兰，覆盖特定沉积能力。</w:t>
            </w:r>
            <w:hyperlink r:id="rId33">
              <w:r>
                <w:rPr>
                  <w:color w:val="4338CA"/>
                </w:rPr>
                <w:t>[S004]</w:t>
              </w:r>
            </w:hyperlink>
            <w:hyperlink r:id="rId53">
              <w:r>
                <w:rPr>
                  <w:color w:val="4338CA"/>
                </w:rPr>
                <w:t>[S031]</w:t>
              </w:r>
            </w:hyperlink>
          </w:p>
        </w:tc>
        <w:tc>
          <w:tcPr>
            <w:tcW w:type="dxa" w:w="2265"/>
            <w:vAlign w:val="top"/>
          </w:tcPr>
          <w:p>
            <w:pPr>
              <w:spacing w:after="80" w:before="60" w:line="276" w:lineRule="auto"/>
            </w:pPr>
            <w:r>
              <w:rPr>
                <w:sz w:val="16"/>
              </w:rPr>
              <w:t>能做一种刻蚀/沉积不等于能替代全流程；比具体薄膜、孔形与产能。</w:t>
            </w:r>
          </w:p>
        </w:tc>
      </w:tr>
      <w:tr>
        <w:trPr>
          <w:cantSplit/>
        </w:trPr>
        <w:tc>
          <w:tcPr>
            <w:tcW w:type="dxa" w:w="833"/>
            <w:vAlign w:val="top"/>
          </w:tcPr>
          <w:p>
            <w:pPr>
              <w:spacing w:after="80" w:before="60" w:line="276" w:lineRule="auto"/>
            </w:pPr>
            <w:r>
              <w:rPr>
                <w:sz w:val="16"/>
              </w:rPr>
              <w:t>NAND 薄膜/清洗材料</w:t>
            </w:r>
          </w:p>
        </w:tc>
        <w:tc>
          <w:tcPr>
            <w:tcW w:type="dxa" w:w="2265"/>
            <w:vAlign w:val="top"/>
          </w:tcPr>
          <w:p>
            <w:pPr>
              <w:spacing w:after="80" w:before="60" w:line="276" w:lineRule="auto"/>
            </w:pPr>
            <w:r>
              <w:rPr>
                <w:sz w:val="16"/>
              </w:rPr>
              <w:t>国内候选须连同纯度、供料系统和客户工艺验证查核，具体公司见材料章</w:t>
            </w:r>
          </w:p>
        </w:tc>
        <w:tc>
          <w:tcPr>
            <w:tcW w:type="dxa" w:w="2265"/>
            <w:vAlign w:val="top"/>
          </w:tcPr>
          <w:p>
            <w:pPr>
              <w:spacing w:after="80" w:before="60" w:line="276" w:lineRule="auto"/>
            </w:pPr>
            <w:r>
              <w:rPr>
                <w:sz w:val="16"/>
              </w:rPr>
              <w:t>Entegris：清洗/高纯与材料整合方案。</w:t>
            </w:r>
            <w:hyperlink r:id="rId28">
              <w:r>
                <w:rPr>
                  <w:color w:val="4338CA"/>
                </w:rPr>
                <w:t>[S008]</w:t>
              </w:r>
            </w:hyperlink>
            <w:hyperlink r:id="rId35">
              <w:r>
                <w:rPr>
                  <w:color w:val="4338CA"/>
                </w:rPr>
                <w:t>[S009]</w:t>
              </w:r>
            </w:hyperlink>
          </w:p>
        </w:tc>
        <w:tc>
          <w:tcPr>
            <w:tcW w:type="dxa" w:w="2265"/>
            <w:vAlign w:val="top"/>
          </w:tcPr>
          <w:p>
            <w:pPr>
              <w:spacing w:after="80" w:before="60" w:line="276" w:lineRule="auto"/>
            </w:pPr>
            <w:r>
              <w:rPr>
                <w:sz w:val="16"/>
              </w:rPr>
              <w:t>Merck，德国：薄膜前驱体与化学平台。</w:t>
            </w:r>
            <w:hyperlink r:id="rId52">
              <w:r>
                <w:rPr>
                  <w:color w:val="4338CA"/>
                </w:rPr>
                <w:t>[S010]</w:t>
              </w:r>
            </w:hyperlink>
          </w:p>
        </w:tc>
        <w:tc>
          <w:tcPr>
            <w:tcW w:type="dxa" w:w="2265"/>
            <w:vAlign w:val="top"/>
          </w:tcPr>
          <w:p>
            <w:pPr>
              <w:spacing w:after="80" w:before="60" w:line="276" w:lineRule="auto"/>
            </w:pPr>
            <w:r>
              <w:rPr>
                <w:sz w:val="16"/>
              </w:rPr>
              <w:t>目录、送样、认证和持续量产消耗是不同证据阶段。</w:t>
            </w:r>
          </w:p>
        </w:tc>
      </w:tr>
      <w:tr>
        <w:trPr>
          <w:cantSplit/>
        </w:trPr>
        <w:tc>
          <w:tcPr>
            <w:tcW w:type="dxa" w:w="833"/>
            <w:vAlign w:val="top"/>
          </w:tcPr>
          <w:p>
            <w:pPr>
              <w:spacing w:after="80" w:before="60" w:line="276" w:lineRule="auto"/>
            </w:pPr>
            <w:r>
              <w:rPr>
                <w:sz w:val="16"/>
              </w:rPr>
              <w:t>HDD 整盘与技术平台</w:t>
            </w:r>
          </w:p>
        </w:tc>
        <w:tc>
          <w:tcPr>
            <w:tcW w:type="dxa" w:w="2265"/>
            <w:vAlign w:val="top"/>
          </w:tcPr>
          <w:p>
            <w:pPr>
              <w:spacing w:after="80" w:before="60" w:line="276" w:lineRule="auto"/>
            </w:pPr>
            <w:r>
              <w:rPr>
                <w:sz w:val="16"/>
              </w:rPr>
              <w:t>本报告未核到与三家平台厂同等规模的中国自有 HDD 全链制造者</w:t>
            </w:r>
          </w:p>
        </w:tc>
        <w:tc>
          <w:tcPr>
            <w:tcW w:type="dxa" w:w="2265"/>
            <w:vAlign w:val="top"/>
          </w:tcPr>
          <w:p>
            <w:pPr>
              <w:spacing w:after="80" w:before="60" w:line="276" w:lineRule="auto"/>
            </w:pPr>
            <w:r>
              <w:rPr>
                <w:sz w:val="16"/>
              </w:rPr>
              <w:t>Seagate、WD；制造环节跨国分布。</w:t>
            </w:r>
            <w:hyperlink r:id="rId159">
              <w:r>
                <w:rPr>
                  <w:color w:val="4338CA"/>
                </w:rPr>
                <w:t>[S045]</w:t>
              </w:r>
            </w:hyperlink>
            <w:hyperlink r:id="rId160">
              <w:r>
                <w:rPr>
                  <w:color w:val="4338CA"/>
                </w:rPr>
                <w:t>[S047]</w:t>
              </w:r>
            </w:hyperlink>
          </w:p>
        </w:tc>
        <w:tc>
          <w:tcPr>
            <w:tcW w:type="dxa" w:w="2265"/>
            <w:vAlign w:val="top"/>
          </w:tcPr>
          <w:p>
            <w:pPr>
              <w:spacing w:after="80" w:before="60" w:line="276" w:lineRule="auto"/>
            </w:pPr>
            <w:r>
              <w:rPr>
                <w:sz w:val="16"/>
              </w:rPr>
              <w:t>Toshiba，日本。</w:t>
            </w:r>
            <w:hyperlink r:id="rId181">
              <w:r>
                <w:rPr>
                  <w:color w:val="4338CA"/>
                </w:rPr>
                <w:t>[S048]</w:t>
              </w:r>
            </w:hyperlink>
          </w:p>
        </w:tc>
        <w:tc>
          <w:tcPr>
            <w:tcW w:type="dxa" w:w="2265"/>
            <w:vAlign w:val="top"/>
          </w:tcPr>
          <w:p>
            <w:pPr>
              <w:spacing w:after="80" w:before="60" w:line="276" w:lineRule="auto"/>
            </w:pPr>
            <w:r>
              <w:rPr>
                <w:sz w:val="16"/>
              </w:rPr>
              <w:t>磁头、介质、伺服、辅助写入、客户认证与制造良率。</w:t>
            </w:r>
          </w:p>
        </w:tc>
      </w:tr>
      <w:tr>
        <w:trPr>
          <w:cantSplit/>
        </w:trPr>
        <w:tc>
          <w:tcPr>
            <w:tcW w:type="dxa" w:w="833"/>
            <w:vAlign w:val="top"/>
          </w:tcPr>
          <w:p>
            <w:pPr>
              <w:spacing w:after="80" w:before="60" w:line="276" w:lineRule="auto"/>
            </w:pPr>
            <w:r>
              <w:rPr>
                <w:sz w:val="16"/>
              </w:rPr>
              <w:t>磁带和专用持久存储</w:t>
            </w:r>
          </w:p>
        </w:tc>
        <w:tc>
          <w:tcPr>
            <w:tcW w:type="dxa" w:w="2265"/>
            <w:vAlign w:val="top"/>
          </w:tcPr>
          <w:p>
            <w:pPr>
              <w:spacing w:after="80" w:before="60" w:line="276" w:lineRule="auto"/>
            </w:pPr>
            <w:r>
              <w:rPr>
                <w:sz w:val="16"/>
              </w:rPr>
              <w:t>对应系统集成与运营能力需单独评估</w:t>
            </w:r>
          </w:p>
        </w:tc>
        <w:tc>
          <w:tcPr>
            <w:tcW w:type="dxa" w:w="2265"/>
            <w:vAlign w:val="top"/>
          </w:tcPr>
          <w:p>
            <w:pPr>
              <w:spacing w:after="80" w:before="60" w:line="276" w:lineRule="auto"/>
            </w:pPr>
            <w:r>
              <w:rPr>
                <w:sz w:val="16"/>
              </w:rPr>
              <w:t>IBM LTO/带库；Everspin MRAM。</w:t>
            </w:r>
            <w:hyperlink r:id="rId161">
              <w:r>
                <w:rPr>
                  <w:color w:val="4338CA"/>
                </w:rPr>
                <w:t>[S049]</w:t>
              </w:r>
            </w:hyperlink>
            <w:hyperlink r:id="rId190">
              <w:r>
                <w:rPr>
                  <w:color w:val="4338CA"/>
                </w:rPr>
                <w:t>[S051]</w:t>
              </w:r>
            </w:hyperlink>
          </w:p>
        </w:tc>
        <w:tc>
          <w:tcPr>
            <w:tcW w:type="dxa" w:w="2265"/>
            <w:vAlign w:val="top"/>
          </w:tcPr>
          <w:p>
            <w:pPr>
              <w:spacing w:after="80" w:before="60" w:line="276" w:lineRule="auto"/>
            </w:pPr>
            <w:r>
              <w:rPr>
                <w:sz w:val="16"/>
              </w:rPr>
              <w:t>磁带介质与驱动供应链另需按料号核验</w:t>
            </w:r>
          </w:p>
        </w:tc>
        <w:tc>
          <w:tcPr>
            <w:tcW w:type="dxa" w:w="2265"/>
            <w:vAlign w:val="top"/>
          </w:tcPr>
          <w:p>
            <w:pPr>
              <w:spacing w:after="80" w:before="60" w:line="276" w:lineRule="auto"/>
            </w:pPr>
            <w:r>
              <w:rPr>
                <w:sz w:val="16"/>
              </w:rPr>
              <w:t>MRAM 是专用持久存储器件；磁带是另一种完整介质/机械系统。</w:t>
            </w:r>
          </w:p>
        </w:tc>
      </w:tr>
    </w:tbl>
    <w:p>
      <w:pPr>
        <w:spacing w:after="0"/>
      </w:pPr>
    </w:p>
    <w:p>
      <w:pPr/>
      <w:r>
        <w:rPr>
          <w:b/>
        </w:rPr>
        <w:t>实体边界。</w:t>
      </w:r>
      <w:r>
        <w:t xml:space="preserve"> Sandisk 与 Western Digital 在 2025 年 2 月完成业务分离；SEC 文件把法律分离日记为 2 月 21 日，2 月 24 日是对外宣布/交易相关节点。研究 NAND/SSD 应对应 Sandisk，研究 HDD 应对应 WD，旧 WD 品牌产品不应使两个上市实体的业务混算。</w:t>
      </w:r>
      <w:hyperlink r:id="rId191">
        <w:r>
          <w:rPr>
            <w:color w:val="4338CA"/>
          </w:rPr>
          <w:t>[S050]</w:t>
        </w:r>
      </w:hyperlink>
      <w:hyperlink r:id="rId192">
        <w:r>
          <w:rPr>
            <w:color w:val="4338CA"/>
          </w:rPr>
          <w:t>[S070]</w:t>
        </w:r>
      </w:hyperlink>
    </w:p>
    <w:p>
      <w:pPr/>
      <w:r>
        <w:t>Solidigm 属 SK hynix 集团旗下的美国业务实体；本报告用它观察企业级 SSD、QLC 和系统协同，不能把集团 NAND、HBM 和 Solidigm 成品 SSD 收入重复相加为新增市场。集团官方简介可以确认隶属关系，具体重组与合并口径需回到期内财报。</w:t>
      </w:r>
      <w:hyperlink r:id="rId193">
        <w:r>
          <w:rPr>
            <w:color w:val="4338CA"/>
          </w:rPr>
          <w:t>[S062]</w:t>
        </w:r>
      </w:hyperlink>
    </w:p>
    <w:p>
      <w:pPr>
        <w:pStyle w:val="Heading2"/>
      </w:pPr>
      <w:r>
        <w:t>用两条支线补齐架构</w:t>
      </w:r>
    </w:p>
    <w:p>
      <w:pPr/>
      <w:r>
        <w:rPr>
          <w:b/>
        </w:rPr>
        <w:t>GDDR 与 HBM 是不同的 GPU 内存选项。</w:t>
      </w:r>
      <w:r>
        <w:t xml:space="preserve"> Micron 的教育材料把 DDR、LPDDR、GDDR、HBM 都归在 DRAM 内；GDDR7 产品资料面向图形、AI 与 HPC。比较应看板级连接、位宽、封装、容量、功耗及产品需求，不能把“GPU 用 HBM”写成所有 GPU 的普遍条件。</w:t>
      </w:r>
      <w:hyperlink r:id="rId194">
        <w:r>
          <w:rPr>
            <w:color w:val="4338CA"/>
          </w:rPr>
          <w:t>[S060]</w:t>
        </w:r>
      </w:hyperlink>
      <w:hyperlink r:id="rId195">
        <w:r>
          <w:rPr>
            <w:color w:val="4338CA"/>
          </w:rPr>
          <w:t>[S066]</w:t>
        </w:r>
      </w:hyperlink>
    </w:p>
    <w:p>
      <w:pPr/>
      <w:r>
        <w:rPr>
          <w:b/>
        </w:rPr>
        <w:t>MRAM 不是 NAND 的同义替代。</w:t>
      </w:r>
      <w:r>
        <w:t xml:space="preserve"> Everspin 的 STT-MRAM 通过磁性隧道结状态保存数据，并提供持久缓存/嵌入式等产品路线。它可在特定写缓冲场景减少对保持供电的依赖，但这不能推广成已在容量、成本、工艺和生态上全面替代 DRAM/NAND。</w:t>
      </w:r>
      <w:hyperlink r:id="rId190">
        <w:r>
          <w:rPr>
            <w:color w:val="4338CA"/>
          </w:rPr>
          <w:t>[S051]</w:t>
        </w:r>
      </w:hyperlink>
    </w:p>
    <w:p>
      <w:pPr>
        <w:pStyle w:val="Heading2"/>
      </w:pPr>
      <w:r>
        <w:t>从技术瓶颈推导投资假说 而非从名词直接选股</w:t>
      </w:r>
    </w:p>
    <w:tbl>
      <w:tblPr>
        <w:tblW w:type="auto" w:w="0"/>
        <w:jc w:val="center"/>
        <w:tblLayout w:type="fixed"/>
        <w:tblLook w:firstColumn="1" w:firstRow="1" w:lastColumn="0" w:lastRow="0" w:noHBand="0" w:noVBand="1" w:val="04A0"/>
      </w:tblPr>
      <w:tblGrid>
        <w:gridCol w:w="1263"/>
        <w:gridCol w:w="1495"/>
        <w:gridCol w:w="1708"/>
        <w:gridCol w:w="2438"/>
        <w:gridCol w:w="2989"/>
      </w:tblGrid>
      <w:tr>
        <w:trPr>
          <w:tblHeader/>
        </w:trPr>
        <w:tc>
          <w:tcPr>
            <w:tcW w:type="dxa" w:w="1263"/>
            <w:vAlign w:val="top"/>
            <w:shd w:fill="E0E7FF"/>
          </w:tcPr>
          <w:p>
            <w:pPr>
              <w:spacing w:after="80" w:before="60" w:line="276" w:lineRule="auto"/>
            </w:pPr>
            <w:r>
              <w:rPr>
                <w:b/>
                <w:sz w:val="16"/>
              </w:rPr>
              <w:t>假说</w:t>
            </w:r>
          </w:p>
        </w:tc>
        <w:tc>
          <w:tcPr>
            <w:tcW w:type="dxa" w:w="1495"/>
            <w:vAlign w:val="top"/>
            <w:shd w:fill="E0E7FF"/>
          </w:tcPr>
          <w:p>
            <w:pPr>
              <w:spacing w:after="80" w:before="60" w:line="276" w:lineRule="auto"/>
            </w:pPr>
            <w:r>
              <w:rPr>
                <w:b/>
                <w:sz w:val="16"/>
              </w:rPr>
              <w:t>技术触发</w:t>
            </w:r>
          </w:p>
        </w:tc>
        <w:tc>
          <w:tcPr>
            <w:tcW w:type="dxa" w:w="1708"/>
            <w:vAlign w:val="top"/>
            <w:shd w:fill="E0E7FF"/>
          </w:tcPr>
          <w:p>
            <w:pPr>
              <w:spacing w:after="80" w:before="60" w:line="276" w:lineRule="auto"/>
            </w:pPr>
            <w:r>
              <w:rPr>
                <w:b/>
                <w:sz w:val="16"/>
              </w:rPr>
              <w:t>收益可能流向</w:t>
            </w:r>
          </w:p>
        </w:tc>
        <w:tc>
          <w:tcPr>
            <w:tcW w:type="dxa" w:w="2438"/>
            <w:vAlign w:val="top"/>
            <w:shd w:fill="E0E7FF"/>
          </w:tcPr>
          <w:p>
            <w:pPr>
              <w:spacing w:after="80" w:before="60" w:line="276" w:lineRule="auto"/>
            </w:pPr>
            <w:r>
              <w:rPr>
                <w:b/>
                <w:sz w:val="16"/>
              </w:rPr>
              <w:t>必须验证的证据</w:t>
            </w:r>
          </w:p>
        </w:tc>
        <w:tc>
          <w:tcPr>
            <w:tcW w:type="dxa" w:w="2989"/>
            <w:vAlign w:val="top"/>
            <w:shd w:fill="E0E7FF"/>
          </w:tcPr>
          <w:p>
            <w:pPr>
              <w:spacing w:after="80" w:before="60" w:line="276" w:lineRule="auto"/>
            </w:pPr>
            <w:r>
              <w:rPr>
                <w:b/>
                <w:sz w:val="16"/>
              </w:rPr>
              <w:t>可推翻它的事实</w:t>
            </w:r>
          </w:p>
        </w:tc>
      </w:tr>
      <w:tr>
        <w:trPr>
          <w:cantSplit/>
        </w:trPr>
        <w:tc>
          <w:tcPr>
            <w:tcW w:type="dxa" w:w="1263"/>
            <w:vAlign w:val="top"/>
          </w:tcPr>
          <w:p>
            <w:pPr>
              <w:spacing w:after="80" w:before="60" w:line="276" w:lineRule="auto"/>
            </w:pPr>
            <w:r>
              <w:rPr>
                <w:sz w:val="16"/>
              </w:rPr>
              <w:t>NAND 扩层推动工艺强度</w:t>
            </w:r>
          </w:p>
        </w:tc>
        <w:tc>
          <w:tcPr>
            <w:tcW w:type="dxa" w:w="1495"/>
            <w:vAlign w:val="top"/>
          </w:tcPr>
          <w:p>
            <w:pPr>
              <w:spacing w:after="80" w:before="60" w:line="276" w:lineRule="auto"/>
            </w:pPr>
            <w:r>
              <w:rPr>
                <w:sz w:val="16"/>
              </w:rPr>
              <w:t>更高堆叠带来更难的深孔、薄膜和字线</w:t>
            </w:r>
          </w:p>
        </w:tc>
        <w:tc>
          <w:tcPr>
            <w:tcW w:type="dxa" w:w="1708"/>
            <w:vAlign w:val="top"/>
          </w:tcPr>
          <w:p>
            <w:pPr>
              <w:spacing w:after="80" w:before="60" w:line="276" w:lineRule="auto"/>
            </w:pPr>
            <w:r>
              <w:rPr>
                <w:sz w:val="16"/>
              </w:rPr>
              <w:t>取得关键步骤导入的设备/材料商</w:t>
            </w:r>
          </w:p>
        </w:tc>
        <w:tc>
          <w:tcPr>
            <w:tcW w:type="dxa" w:w="2438"/>
            <w:vAlign w:val="top"/>
          </w:tcPr>
          <w:p>
            <w:pPr>
              <w:spacing w:after="80" w:before="60" w:line="276" w:lineRule="auto"/>
            </w:pPr>
            <w:r>
              <w:rPr>
                <w:sz w:val="16"/>
              </w:rPr>
              <w:t>客户认证、步骤覆盖、单片耗时/消耗、增量设备与服务</w:t>
            </w:r>
          </w:p>
        </w:tc>
        <w:tc>
          <w:tcPr>
            <w:tcW w:type="dxa" w:w="2989"/>
            <w:vAlign w:val="top"/>
          </w:tcPr>
          <w:p>
            <w:pPr>
              <w:spacing w:after="80" w:before="60" w:line="276" w:lineRule="auto"/>
            </w:pPr>
            <w:r>
              <w:rPr>
                <w:sz w:val="16"/>
              </w:rPr>
              <w:t>更快设备减少腔室数量；工艺合并、份额变化或资本开支推迟。</w:t>
            </w:r>
            <w:hyperlink r:id="rId33">
              <w:r>
                <w:rPr>
                  <w:color w:val="4338CA"/>
                </w:rPr>
                <w:t>[S004]</w:t>
              </w:r>
            </w:hyperlink>
            <w:hyperlink r:id="rId50">
              <w:r>
                <w:rPr>
                  <w:color w:val="4338CA"/>
                </w:rPr>
                <w:t>[S005]</w:t>
              </w:r>
            </w:hyperlink>
            <w:hyperlink r:id="rId34">
              <w:r>
                <w:rPr>
                  <w:color w:val="4338CA"/>
                </w:rPr>
                <w:t>[S006]</w:t>
              </w:r>
            </w:hyperlink>
          </w:p>
        </w:tc>
      </w:tr>
      <w:tr>
        <w:trPr>
          <w:cantSplit/>
        </w:trPr>
        <w:tc>
          <w:tcPr>
            <w:tcW w:type="dxa" w:w="1263"/>
            <w:vAlign w:val="top"/>
          </w:tcPr>
          <w:p>
            <w:pPr>
              <w:spacing w:after="80" w:before="60" w:line="276" w:lineRule="auto"/>
            </w:pPr>
            <w:r>
              <w:rPr>
                <w:sz w:val="16"/>
              </w:rPr>
              <w:t>企业 QLC 提升密度</w:t>
            </w:r>
          </w:p>
        </w:tc>
        <w:tc>
          <w:tcPr>
            <w:tcW w:type="dxa" w:w="1495"/>
            <w:vAlign w:val="top"/>
          </w:tcPr>
          <w:p>
            <w:pPr>
              <w:spacing w:after="80" w:before="60" w:line="276" w:lineRule="auto"/>
            </w:pPr>
            <w:r>
              <w:rPr>
                <w:sz w:val="16"/>
              </w:rPr>
              <w:t>更多 bit/cell 与系统侧写入优化</w:t>
            </w:r>
          </w:p>
        </w:tc>
        <w:tc>
          <w:tcPr>
            <w:tcW w:type="dxa" w:w="1708"/>
            <w:vAlign w:val="top"/>
          </w:tcPr>
          <w:p>
            <w:pPr>
              <w:spacing w:after="80" w:before="60" w:line="276" w:lineRule="auto"/>
            </w:pPr>
            <w:r>
              <w:rPr>
                <w:sz w:val="16"/>
              </w:rPr>
              <w:t>NAND 原厂、能管理介质的 SSD/软件商</w:t>
            </w:r>
          </w:p>
        </w:tc>
        <w:tc>
          <w:tcPr>
            <w:tcW w:type="dxa" w:w="2438"/>
            <w:vAlign w:val="top"/>
          </w:tcPr>
          <w:p>
            <w:pPr>
              <w:spacing w:after="80" w:before="60" w:line="276" w:lineRule="auto"/>
            </w:pPr>
            <w:r>
              <w:rPr>
                <w:sz w:val="16"/>
              </w:rPr>
              <w:t>实际负载下寿命、尾延迟、写放大、有效容量/TCO</w:t>
            </w:r>
          </w:p>
        </w:tc>
        <w:tc>
          <w:tcPr>
            <w:tcW w:type="dxa" w:w="2989"/>
            <w:vAlign w:val="top"/>
          </w:tcPr>
          <w:p>
            <w:pPr>
              <w:spacing w:after="80" w:before="60" w:line="276" w:lineRule="auto"/>
            </w:pPr>
            <w:r>
              <w:rPr>
                <w:sz w:val="16"/>
              </w:rPr>
              <w:t>随机小写、后台搬迁或固件问题抵消容量优势。</w:t>
            </w:r>
            <w:hyperlink r:id="rId21">
              <w:r>
                <w:rPr>
                  <w:color w:val="4338CA"/>
                </w:rPr>
                <w:t>[S018]</w:t>
              </w:r>
            </w:hyperlink>
            <w:hyperlink r:id="rId174">
              <w:r>
                <w:rPr>
                  <w:color w:val="4338CA"/>
                </w:rPr>
                <w:t>[S024]</w:t>
              </w:r>
            </w:hyperlink>
          </w:p>
        </w:tc>
      </w:tr>
      <w:tr>
        <w:trPr>
          <w:cantSplit/>
        </w:trPr>
        <w:tc>
          <w:tcPr>
            <w:tcW w:type="dxa" w:w="1263"/>
            <w:vAlign w:val="top"/>
          </w:tcPr>
          <w:p>
            <w:pPr>
              <w:spacing w:after="80" w:before="60" w:line="276" w:lineRule="auto"/>
            </w:pPr>
            <w:r>
              <w:rPr>
                <w:sz w:val="16"/>
              </w:rPr>
              <w:t>HBM 价值向封装/测试扩散</w:t>
            </w:r>
          </w:p>
        </w:tc>
        <w:tc>
          <w:tcPr>
            <w:tcW w:type="dxa" w:w="1495"/>
            <w:vAlign w:val="top"/>
          </w:tcPr>
          <w:p>
            <w:pPr>
              <w:spacing w:after="80" w:before="60" w:line="276" w:lineRule="auto"/>
            </w:pPr>
            <w:r>
              <w:rPr>
                <w:sz w:val="16"/>
              </w:rPr>
              <w:t>更多 die、更多连接、更严格热边界</w:t>
            </w:r>
          </w:p>
        </w:tc>
        <w:tc>
          <w:tcPr>
            <w:tcW w:type="dxa" w:w="1708"/>
            <w:vAlign w:val="top"/>
          </w:tcPr>
          <w:p>
            <w:pPr>
              <w:spacing w:after="80" w:before="60" w:line="276" w:lineRule="auto"/>
            </w:pPr>
            <w:r>
              <w:rPr>
                <w:sz w:val="16"/>
              </w:rPr>
              <w:t>经过认证的前道、堆叠、材料、测试环节</w:t>
            </w:r>
          </w:p>
        </w:tc>
        <w:tc>
          <w:tcPr>
            <w:tcW w:type="dxa" w:w="2438"/>
            <w:vAlign w:val="top"/>
          </w:tcPr>
          <w:p>
            <w:pPr>
              <w:spacing w:after="80" w:before="60" w:line="276" w:lineRule="auto"/>
            </w:pPr>
            <w:r>
              <w:rPr>
                <w:sz w:val="16"/>
              </w:rPr>
              <w:t>分阶段良率、吞吐、维修/耗材、设备份额、客户锁定</w:t>
            </w:r>
          </w:p>
        </w:tc>
        <w:tc>
          <w:tcPr>
            <w:tcW w:type="dxa" w:w="2989"/>
            <w:vAlign w:val="top"/>
          </w:tcPr>
          <w:p>
            <w:pPr>
              <w:spacing w:after="80" w:before="60" w:line="276" w:lineRule="auto"/>
            </w:pPr>
            <w:r>
              <w:rPr>
                <w:sz w:val="16"/>
              </w:rPr>
              <w:t>技术换代改变键合路线、瓶颈解除、客户内制。</w:t>
            </w:r>
            <w:hyperlink r:id="rId29">
              <w:r>
                <w:rPr>
                  <w:color w:val="4338CA"/>
                </w:rPr>
                <w:t>[S026]</w:t>
              </w:r>
            </w:hyperlink>
            <w:hyperlink r:id="rId168">
              <w:r>
                <w:rPr>
                  <w:color w:val="4338CA"/>
                </w:rPr>
                <w:t>[S029]</w:t>
              </w:r>
            </w:hyperlink>
            <w:hyperlink r:id="rId172">
              <w:r>
                <w:rPr>
                  <w:color w:val="4338CA"/>
                </w:rPr>
                <w:t>[S056]</w:t>
              </w:r>
            </w:hyperlink>
          </w:p>
        </w:tc>
      </w:tr>
      <w:tr>
        <w:trPr>
          <w:cantSplit/>
        </w:trPr>
        <w:tc>
          <w:tcPr>
            <w:tcW w:type="dxa" w:w="1263"/>
            <w:vAlign w:val="top"/>
          </w:tcPr>
          <w:p>
            <w:pPr>
              <w:spacing w:after="80" w:before="60" w:line="276" w:lineRule="auto"/>
            </w:pPr>
            <w:r>
              <w:rPr>
                <w:sz w:val="16"/>
              </w:rPr>
              <w:t>长上下文增加可复用 flash tier</w:t>
            </w:r>
          </w:p>
        </w:tc>
        <w:tc>
          <w:tcPr>
            <w:tcW w:type="dxa" w:w="1495"/>
            <w:vAlign w:val="top"/>
          </w:tcPr>
          <w:p>
            <w:pPr>
              <w:spacing w:after="80" w:before="60" w:line="276" w:lineRule="auto"/>
            </w:pPr>
            <w:r>
              <w:rPr>
                <w:sz w:val="16"/>
              </w:rPr>
              <w:t>HBM 容量与重算成本约束</w:t>
            </w:r>
          </w:p>
        </w:tc>
        <w:tc>
          <w:tcPr>
            <w:tcW w:type="dxa" w:w="1708"/>
            <w:vAlign w:val="top"/>
          </w:tcPr>
          <w:p>
            <w:pPr>
              <w:spacing w:after="80" w:before="60" w:line="276" w:lineRule="auto"/>
            </w:pPr>
            <w:r>
              <w:rPr>
                <w:sz w:val="16"/>
              </w:rPr>
              <w:t>SSD、DPU、网络与缓存软件组合</w:t>
            </w:r>
          </w:p>
        </w:tc>
        <w:tc>
          <w:tcPr>
            <w:tcW w:type="dxa" w:w="2438"/>
            <w:vAlign w:val="top"/>
          </w:tcPr>
          <w:p>
            <w:pPr>
              <w:spacing w:after="80" w:before="60" w:line="276" w:lineRule="auto"/>
            </w:pPr>
            <w:r>
              <w:rPr>
                <w:sz w:val="16"/>
              </w:rPr>
              <w:t>命中率、预取成功、读取粒度、GPU 利用率、成本/token</w:t>
            </w:r>
          </w:p>
        </w:tc>
        <w:tc>
          <w:tcPr>
            <w:tcW w:type="dxa" w:w="2989"/>
            <w:vAlign w:val="top"/>
          </w:tcPr>
          <w:p>
            <w:pPr>
              <w:spacing w:after="80" w:before="60" w:line="276" w:lineRule="auto"/>
            </w:pPr>
            <w:r>
              <w:rPr>
                <w:sz w:val="16"/>
              </w:rPr>
              <w:t>上下文不复用、重算更便宜、模型/attention 优化降低需求。</w:t>
            </w:r>
            <w:hyperlink r:id="rId154">
              <w:r>
                <w:rPr>
                  <w:color w:val="4338CA"/>
                </w:rPr>
                <w:t>[S041]</w:t>
              </w:r>
            </w:hyperlink>
            <w:hyperlink r:id="rId180">
              <w:r>
                <w:rPr>
                  <w:color w:val="4338CA"/>
                </w:rPr>
                <w:t>[S044]</w:t>
              </w:r>
            </w:hyperlink>
          </w:p>
        </w:tc>
      </w:tr>
      <w:tr>
        <w:trPr>
          <w:cantSplit/>
        </w:trPr>
        <w:tc>
          <w:tcPr>
            <w:tcW w:type="dxa" w:w="1263"/>
            <w:vAlign w:val="top"/>
          </w:tcPr>
          <w:p>
            <w:pPr>
              <w:spacing w:after="80" w:before="60" w:line="276" w:lineRule="auto"/>
            </w:pPr>
            <w:r>
              <w:rPr>
                <w:sz w:val="16"/>
              </w:rPr>
              <w:t>HAMR 提高容量密度</w:t>
            </w:r>
          </w:p>
        </w:tc>
        <w:tc>
          <w:tcPr>
            <w:tcW w:type="dxa" w:w="1495"/>
            <w:vAlign w:val="top"/>
          </w:tcPr>
          <w:p>
            <w:pPr>
              <w:spacing w:after="80" w:before="60" w:line="276" w:lineRule="auto"/>
            </w:pPr>
            <w:r>
              <w:rPr>
                <w:sz w:val="16"/>
              </w:rPr>
              <w:t>磁记录稳定性与可写性矛盾</w:t>
            </w:r>
          </w:p>
        </w:tc>
        <w:tc>
          <w:tcPr>
            <w:tcW w:type="dxa" w:w="1708"/>
            <w:vAlign w:val="top"/>
          </w:tcPr>
          <w:p>
            <w:pPr>
              <w:spacing w:after="80" w:before="60" w:line="276" w:lineRule="auto"/>
            </w:pPr>
            <w:r>
              <w:rPr>
                <w:sz w:val="16"/>
              </w:rPr>
              <w:t>平台厂及已导入的介质/光子/磁头环节</w:t>
            </w:r>
          </w:p>
        </w:tc>
        <w:tc>
          <w:tcPr>
            <w:tcW w:type="dxa" w:w="2438"/>
            <w:vAlign w:val="top"/>
          </w:tcPr>
          <w:p>
            <w:pPr>
              <w:spacing w:after="80" w:before="60" w:line="276" w:lineRule="auto"/>
            </w:pPr>
            <w:r>
              <w:rPr>
                <w:sz w:val="16"/>
              </w:rPr>
              <w:t>云客户认证、批量出货、良率和可靠性、每 TB 系统成本</w:t>
            </w:r>
          </w:p>
        </w:tc>
        <w:tc>
          <w:tcPr>
            <w:tcW w:type="dxa" w:w="2989"/>
            <w:vAlign w:val="top"/>
          </w:tcPr>
          <w:p>
            <w:pPr>
              <w:spacing w:after="80" w:before="60" w:line="276" w:lineRule="auto"/>
            </w:pPr>
            <w:r>
              <w:rPr>
                <w:sz w:val="16"/>
              </w:rPr>
              <w:t>客户迁移慢、可靠性开销过大、SSD 成本或系统架构变化。</w:t>
            </w:r>
            <w:hyperlink r:id="rId159">
              <w:r>
                <w:rPr>
                  <w:color w:val="4338CA"/>
                </w:rPr>
                <w:t>[S045]</w:t>
              </w:r>
            </w:hyperlink>
            <w:hyperlink r:id="rId163">
              <w:r>
                <w:rPr>
                  <w:color w:val="4338CA"/>
                </w:rPr>
                <w:t>[S046]</w:t>
              </w:r>
            </w:hyperlink>
          </w:p>
        </w:tc>
      </w:tr>
    </w:tbl>
    <w:p>
      <w:pPr>
        <w:spacing w:after="0"/>
      </w:pPr>
    </w:p>
    <w:p>
      <w:pPr/>
      <w:r>
        <w:rPr>
          <w:b/>
        </w:rPr>
        <w:t>研究判断：</w:t>
      </w:r>
      <w:r>
        <w:t xml:space="preserve"> 技术壁垒只有穿过“性能可验证 → 客户采用 → 可复制制造 → 定价/利润 → 合理估值”这条链，才构成投资结论。独家结构、专利或高难运动控制只是起点；本报告未以“能做某工艺”直接给出任何公司值得买入的结论。</w:t>
      </w:r>
    </w:p>
    <w:p>
      <w:pPr>
        <w:pStyle w:val="Heading2"/>
      </w:pPr>
      <w:r>
        <w:t>外部研究和论坛怎样进入框架</w:t>
      </w:r>
    </w:p>
    <w:p>
      <w:pPr/>
      <w:r>
        <w:t>SemiAnalysis 的 HBM 研究公开部分按内存墙、容量/带宽、制造与路线图组织问题；本报告借鉴从系统约束向供应链下钻的方式，没有引用付费墙后的未读数据。Seeking Alpha 所阅文章摘要强调 NAND 周期、产品变化与估值之间的张力；其评级与作者判断不作为技术事实来源。</w:t>
      </w:r>
      <w:hyperlink r:id="rId196">
        <w:r>
          <w:rPr>
            <w:color w:val="4338CA"/>
          </w:rPr>
          <w:t>[S052]</w:t>
        </w:r>
      </w:hyperlink>
      <w:hyperlink r:id="rId197">
        <w:r>
          <w:rPr>
            <w:color w:val="4338CA"/>
          </w:rPr>
          <w:t>[S053]</w:t>
        </w:r>
      </w:hyperlink>
    </w:p>
    <w:p>
      <w:pPr/>
      <w:r>
        <w:t>技术社区 r/NewMaxx 的 SSD Basics 提供 FTL、TRIM、维护、磨损和垃圾回收等概念入口，价值在于暴露新读者常混淆的位置。本报告据此把“主控、固件、映射、物理介质”分列，再以厂商和标准组织资料核验；论坛本身不是良率、故障率或厂商市占证据。</w:t>
      </w:r>
      <w:hyperlink r:id="rId198">
        <w:r>
          <w:rPr>
            <w:color w:val="4338CA"/>
          </w:rPr>
          <w:t>[S054]</w:t>
        </w:r>
      </w:hyperlink>
      <w:hyperlink r:id="rId16">
        <w:r>
          <w:rPr>
            <w:color w:val="4338CA"/>
          </w:rPr>
          <w:t>[S001]</w:t>
        </w:r>
      </w:hyperlink>
      <w:hyperlink r:id="rId23">
        <w:r>
          <w:rPr>
            <w:color w:val="4338CA"/>
          </w:rPr>
          <w:t>[S019]</w:t>
        </w:r>
      </w:hyperlink>
    </w:p>
    <w:p>
      <w:pPr/>
      <w:r>
        <w:t>投资社区关于“Micron 业绩能否直接映射 Sandisk”的讨论提出了有价值的校准问题：HBM、DRAM 与 NAND 的收入结构不同。采用的是问题，不是帖内的价格、产能或股价预测；公司业务归属由官方产品与分拆文件验证。</w:t>
      </w:r>
      <w:hyperlink r:id="rId199">
        <w:r>
          <w:rPr>
            <w:color w:val="4338CA"/>
          </w:rPr>
          <w:t>[S055]</w:t>
        </w:r>
      </w:hyperlink>
      <w:hyperlink r:id="rId157">
        <w:r>
          <w:rPr>
            <w:color w:val="4338CA"/>
          </w:rPr>
          <w:t>[S027]</w:t>
        </w:r>
      </w:hyperlink>
      <w:hyperlink r:id="rId191">
        <w:r>
          <w:rPr>
            <w:color w:val="4338CA"/>
          </w:rPr>
          <w:t>[S050]</w:t>
        </w:r>
      </w:hyperlink>
    </w:p>
    <w:p>
      <w:pPr>
        <w:pStyle w:val="Heading2"/>
      </w:pPr>
      <w:r>
        <w:t>适合现场直接问的七个问题</w:t>
      </w:r>
    </w:p>
    <w:p>
      <w:pPr/>
      <w:r>
        <w:rPr>
          <w:b/>
        </w:rPr>
        <w:t>1. 给 NAND 原厂：</w:t>
      </w:r>
      <w:r>
        <w:t xml:space="preserve"> 这代改进主要来自层数、横向密度、cell 状态还是外围/阵列集成？可以给每片晶圆良品 bit 与制造周期的可比口径吗？</w:t>
      </w:r>
      <w:hyperlink r:id="rId25">
        <w:r>
          <w:rPr>
            <w:color w:val="4338CA"/>
          </w:rPr>
          <w:t>[S003]</w:t>
        </w:r>
      </w:hyperlink>
      <w:hyperlink r:id="rId31">
        <w:r>
          <w:rPr>
            <w:color w:val="4338CA"/>
          </w:rPr>
          <w:t>[S057]</w:t>
        </w:r>
      </w:hyperlink>
    </w:p>
    <w:p>
      <w:pPr/>
      <w:r>
        <w:rPr>
          <w:b/>
        </w:rPr>
        <w:t>2. 给 Solidigm：</w:t>
      </w:r>
      <w:r>
        <w:t xml:space="preserve"> 大容量 QLC 的 IU 是多少？4K/16K 写负载下，采用 CSAL 前后 WAF、稳态尾延迟和 DPU 成本如何变化？</w:t>
      </w:r>
      <w:hyperlink r:id="rId20">
        <w:r>
          <w:rPr>
            <w:color w:val="4338CA"/>
          </w:rPr>
          <w:t>[S025]</w:t>
        </w:r>
      </w:hyperlink>
    </w:p>
    <w:p>
      <w:pPr/>
      <w:r>
        <w:rPr>
          <w:b/>
        </w:rPr>
        <w:t>3. 给 ScaleFlux：</w:t>
      </w:r>
      <w:r>
        <w:t xml:space="preserve"> “有效容量”对应什么数据集和压缩比？对已压缩/加密数据，物理容量、持续写入和功耗又是多少？</w:t>
      </w:r>
      <w:hyperlink r:id="rId176">
        <w:r>
          <w:rPr>
            <w:color w:val="4338CA"/>
          </w:rPr>
          <w:t>[S021]</w:t>
        </w:r>
      </w:hyperlink>
    </w:p>
    <w:p>
      <w:pPr/>
      <w:r>
        <w:rPr>
          <w:b/>
        </w:rPr>
        <w:t>4. 给 Sandisk：</w:t>
      </w:r>
      <w:r>
        <w:t xml:space="preserve"> HBF 当前属于规格、送样、客户验证还是批量交付？相比既有 SSD tier，软件如何改变读写与耐久管理？</w:t>
      </w:r>
      <w:hyperlink r:id="rId178">
        <w:r>
          <w:rPr>
            <w:color w:val="4338CA"/>
          </w:rPr>
          <w:t>[S042]</w:t>
        </w:r>
      </w:hyperlink>
      <w:hyperlink r:id="rId179">
        <w:r>
          <w:rPr>
            <w:color w:val="4338CA"/>
          </w:rPr>
          <w:t>[S043]</w:t>
        </w:r>
      </w:hyperlink>
    </w:p>
    <w:p>
      <w:pPr/>
      <w:r>
        <w:rPr>
          <w:b/>
        </w:rPr>
        <w:t>5. 给 HBM 供应链：</w:t>
      </w:r>
      <w:r>
        <w:t xml:space="preserve"> 贵公司的收入依赖哪一步？新微凸点/混合键合路线会增加还是减少自身设备/材料价值？</w:t>
      </w:r>
      <w:hyperlink r:id="rId168">
        <w:r>
          <w:rPr>
            <w:color w:val="4338CA"/>
          </w:rPr>
          <w:t>[S029]</w:t>
        </w:r>
      </w:hyperlink>
      <w:hyperlink r:id="rId172">
        <w:r>
          <w:rPr>
            <w:color w:val="4338CA"/>
          </w:rPr>
          <w:t>[S056]</w:t>
        </w:r>
      </w:hyperlink>
    </w:p>
    <w:p>
      <w:pPr/>
      <w:r>
        <w:rPr>
          <w:b/>
        </w:rPr>
        <w:t>6. 给材料商：</w:t>
      </w:r>
      <w:r>
        <w:t xml:space="preserve"> 客户采购的是通用高纯材料还是经其结构验证的专用配方？替换供应商需要重跑哪些电性/可靠性窗口？</w:t>
      </w:r>
      <w:hyperlink r:id="rId35">
        <w:r>
          <w:rPr>
            <w:color w:val="4338CA"/>
          </w:rPr>
          <w:t>[S009]</w:t>
        </w:r>
      </w:hyperlink>
      <w:hyperlink r:id="rId52">
        <w:r>
          <w:rPr>
            <w:color w:val="4338CA"/>
          </w:rPr>
          <w:t>[S010]</w:t>
        </w:r>
      </w:hyperlink>
    </w:p>
    <w:p>
      <w:pPr/>
      <w:r>
        <w:rPr>
          <w:b/>
        </w:rPr>
        <w:t>7. 给系统厂：</w:t>
      </w:r>
      <w:r>
        <w:t xml:space="preserve"> 当前 GPU 空转主要来自存储、网络、解码/预处理还是软件调度？改善单盘性能后，整任务时间和成本/token 是否实测下降？</w:t>
      </w:r>
      <w:hyperlink r:id="rId23">
        <w:r>
          <w:rPr>
            <w:color w:val="4338CA"/>
          </w:rPr>
          <w:t>[S019]</w:t>
        </w:r>
      </w:hyperlink>
      <w:hyperlink r:id="rId153">
        <w:r>
          <w:rPr>
            <w:color w:val="4338CA"/>
          </w:rPr>
          <w:t>[S040]</w:t>
        </w:r>
      </w:hyperlink>
      <w:hyperlink r:id="rId154">
        <w:r>
          <w:rPr>
            <w:color w:val="4338CA"/>
          </w:rPr>
          <w:t>[S041]</w:t>
        </w:r>
      </w:hyperlink>
    </w:p>
    <w:p>
      <w:pPr>
        <w:pStyle w:val="Heading1"/>
        <w:pageBreakBefore/>
      </w:pPr>
      <w:r>
        <w:t>05  晶圆制造 把电路图变成三维器件</w:t>
      </w:r>
    </w:p>
    <w:p>
      <w:r>
        <w:drawing>
          <wp:inline xmlns:a="http://schemas.openxmlformats.org/drawingml/2006/main" xmlns:pic="http://schemas.openxmlformats.org/drawingml/2006/picture">
            <wp:extent cx="6281928" cy="4445477"/>
            <wp:docPr id="5" name="Picture 5"/>
            <wp:cNvGraphicFramePr>
              <a:graphicFrameLocks noChangeAspect="1"/>
            </wp:cNvGraphicFramePr>
            <a:graphic>
              <a:graphicData uri="http://schemas.openxmlformats.org/drawingml/2006/picture">
                <pic:pic>
                  <pic:nvPicPr>
                    <pic:cNvPr id="0" name="04-fabrication.png"/>
                    <pic:cNvPicPr/>
                  </pic:nvPicPr>
                  <pic:blipFill>
                    <a:blip r:embed="rId200"/>
                    <a:stretch>
                      <a:fillRect/>
                    </a:stretch>
                  </pic:blipFill>
                  <pic:spPr>
                    <a:xfrm>
                      <a:off x="0" y="0"/>
                      <a:ext cx="6281928" cy="4445477"/>
                    </a:xfrm>
                    <a:prstGeom prst="rect"/>
                  </pic:spPr>
                </pic:pic>
              </a:graphicData>
            </a:graphic>
          </wp:inline>
        </w:drawing>
      </w:r>
    </w:p>
    <w:p>
      <w:pPr>
        <w:jc w:val="center"/>
      </w:pPr>
      <w:r>
        <w:t>晶圆制造与设备材料对应</w:t>
      </w:r>
    </w:p>
    <w:p>
      <w:pPr>
        <w:pStyle w:val="Heading2"/>
      </w:pPr>
      <w:r>
        <w:t>先分清五种产业角色</w:t>
      </w:r>
    </w:p>
    <w:p>
      <w:pPr/>
      <w:r>
        <w:t>芯片设计公司交付电路与版图；EDA/IP 公司提供设计、验证、签核工具及可复用模块；晶圆厂把版图变成器件；设备厂提供执行工艺的机器；材料厂提供晶圆、气体、薄膜前驱体等耗材。它们共享工艺接口，但不能互相替代：例如 Synopsys 的 Intel 18A 认证流程和 IP，证明设计生态与特定制程的适配，不代表 Synopsys 制造晶圆。</w:t>
      </w:r>
      <w:hyperlink r:id="rId201">
        <w:r>
          <w:rPr>
            <w:color w:val="4338CA"/>
          </w:rPr>
          <w:t>[F017]</w:t>
        </w:r>
      </w:hyperlink>
    </w:p>
    <w:p>
      <w:pPr/>
      <w:r>
        <w:t>晶圆厂内部又分 FEOL（形成晶体管）、MOL（器件接触）、BEOL（多层金属布线）；封装阶段常另称后道，不能把“BEOL 布线”和“封装测试”混为一谈。东京电子的工艺图把沉积、图形化、刻蚀、清洗反复组合，随后才进入互连、晶圆探针测试及键合，这比“一台光刻机做出芯片”的理解准确。</w:t>
      </w:r>
      <w:hyperlink r:id="rId202">
        <w:r>
          <w:rPr>
            <w:color w:val="4338CA"/>
          </w:rPr>
          <w:t>[F001]</w:t>
        </w:r>
      </w:hyperlink>
    </w:p>
    <w:p>
      <w:pPr>
        <w:pStyle w:val="Heading2"/>
      </w:pPr>
      <w:r>
        <w:t>制造主循环与工程验收点</w:t>
      </w:r>
    </w:p>
    <w:p>
      <w:pPr/>
      <w:r>
        <w:t>下表是通用工艺能力字典，不是某款 GPU 的保密配方；真实器件会按层重复、增删与重排步骤。每一步的价值都应以最终电性、缺陷和良率验收，不能只看单台设备的最佳指标。</w:t>
      </w:r>
      <w:hyperlink r:id="rId202">
        <w:r>
          <w:rPr>
            <w:color w:val="4338CA"/>
          </w:rPr>
          <w:t>[F001]</w:t>
        </w:r>
      </w:hyperlink>
      <w:hyperlink r:id="rId203">
        <w:r>
          <w:rPr>
            <w:color w:val="4338CA"/>
          </w:rPr>
          <w:t>[F002]</w:t>
        </w:r>
      </w:hyperlink>
    </w:p>
    <w:tbl>
      <w:tblPr>
        <w:tblW w:type="auto" w:w="0"/>
        <w:jc w:val="center"/>
        <w:tblLayout w:type="fixed"/>
        <w:tblLook w:firstColumn="1" w:firstRow="1" w:lastColumn="0" w:lastRow="0" w:noHBand="0" w:noVBand="1" w:val="04A0"/>
      </w:tblPr>
      <w:tblGrid>
        <w:gridCol w:w="1043"/>
        <w:gridCol w:w="1831"/>
        <w:gridCol w:w="3285"/>
        <w:gridCol w:w="3734"/>
      </w:tblGrid>
      <w:tr>
        <w:trPr>
          <w:tblHeader/>
        </w:trPr>
        <w:tc>
          <w:tcPr>
            <w:tcW w:type="dxa" w:w="1043"/>
            <w:vAlign w:val="top"/>
            <w:shd w:fill="E0E7FF"/>
          </w:tcPr>
          <w:p>
            <w:pPr>
              <w:spacing w:after="80" w:before="60" w:line="276" w:lineRule="auto"/>
            </w:pPr>
            <w:r>
              <w:rPr>
                <w:b/>
                <w:sz w:val="18"/>
              </w:rPr>
              <w:t>工序</w:t>
            </w:r>
          </w:p>
        </w:tc>
        <w:tc>
          <w:tcPr>
            <w:tcW w:type="dxa" w:w="1831"/>
            <w:vAlign w:val="top"/>
            <w:shd w:fill="E0E7FF"/>
          </w:tcPr>
          <w:p>
            <w:pPr>
              <w:spacing w:after="80" w:before="60" w:line="276" w:lineRule="auto"/>
            </w:pPr>
            <w:r>
              <w:rPr>
                <w:b/>
                <w:sz w:val="18"/>
              </w:rPr>
              <w:t>解决的物理问题</w:t>
            </w:r>
          </w:p>
        </w:tc>
        <w:tc>
          <w:tcPr>
            <w:tcW w:type="dxa" w:w="3285"/>
            <w:vAlign w:val="top"/>
            <w:shd w:fill="E0E7FF"/>
          </w:tcPr>
          <w:p>
            <w:pPr>
              <w:spacing w:after="80" w:before="60" w:line="276" w:lineRule="auto"/>
            </w:pPr>
            <w:r>
              <w:rPr>
                <w:b/>
                <w:sz w:val="18"/>
              </w:rPr>
              <w:t>关键能力与应问的指标</w:t>
            </w:r>
          </w:p>
        </w:tc>
        <w:tc>
          <w:tcPr>
            <w:tcW w:type="dxa" w:w="3734"/>
            <w:vAlign w:val="top"/>
            <w:shd w:fill="E0E7FF"/>
          </w:tcPr>
          <w:p>
            <w:pPr>
              <w:spacing w:after="80" w:before="60" w:line="276" w:lineRule="auto"/>
            </w:pPr>
            <w:r>
              <w:rPr>
                <w:b/>
                <w:sz w:val="18"/>
              </w:rPr>
              <w:t>可核实的设备例子</w:t>
            </w:r>
          </w:p>
        </w:tc>
      </w:tr>
      <w:tr>
        <w:trPr>
          <w:cantSplit/>
        </w:trPr>
        <w:tc>
          <w:tcPr>
            <w:tcW w:type="dxa" w:w="1043"/>
            <w:vAlign w:val="top"/>
          </w:tcPr>
          <w:p>
            <w:pPr>
              <w:spacing w:after="80" w:before="60" w:line="276" w:lineRule="auto"/>
            </w:pPr>
            <w:r>
              <w:rPr>
                <w:sz w:val="18"/>
              </w:rPr>
              <w:t>衬底、氧化与外延</w:t>
            </w:r>
          </w:p>
        </w:tc>
        <w:tc>
          <w:tcPr>
            <w:tcW w:type="dxa" w:w="1831"/>
            <w:vAlign w:val="top"/>
          </w:tcPr>
          <w:p>
            <w:pPr>
              <w:spacing w:after="80" w:before="60" w:line="276" w:lineRule="auto"/>
            </w:pPr>
            <w:r>
              <w:rPr>
                <w:sz w:val="18"/>
              </w:rPr>
              <w:t>提供晶体基础，形成绝缘或应变层</w:t>
            </w:r>
          </w:p>
        </w:tc>
        <w:tc>
          <w:tcPr>
            <w:tcW w:type="dxa" w:w="3285"/>
            <w:vAlign w:val="top"/>
          </w:tcPr>
          <w:p>
            <w:pPr>
              <w:spacing w:after="80" w:before="60" w:line="276" w:lineRule="auto"/>
            </w:pPr>
            <w:r>
              <w:rPr>
                <w:sz w:val="18"/>
              </w:rPr>
              <w:t>晶格缺陷、掺杂均匀性、厚度、选择性；Si/SiGe 外延还要控制组分与应变</w:t>
            </w:r>
          </w:p>
        </w:tc>
        <w:tc>
          <w:tcPr>
            <w:tcW w:type="dxa" w:w="3734"/>
            <w:vAlign w:val="top"/>
          </w:tcPr>
          <w:p>
            <w:pPr>
              <w:spacing w:after="80" w:before="60" w:line="276" w:lineRule="auto"/>
            </w:pPr>
            <w:r>
              <w:rPr>
                <w:sz w:val="18"/>
              </w:rPr>
              <w:t>ASM 外延，TEL 炉管；外延晶圆供应和器件厂内选择性外延是不同业务。</w:t>
            </w:r>
            <w:hyperlink r:id="rId204">
              <w:r>
                <w:rPr>
                  <w:color w:val="4338CA"/>
                </w:rPr>
                <w:t>[F006]</w:t>
              </w:r>
            </w:hyperlink>
            <w:hyperlink r:id="rId205">
              <w:r>
                <w:rPr>
                  <w:color w:val="4338CA"/>
                </w:rPr>
                <w:t>[F019]</w:t>
              </w:r>
            </w:hyperlink>
          </w:p>
        </w:tc>
      </w:tr>
      <w:tr>
        <w:trPr>
          <w:cantSplit/>
        </w:trPr>
        <w:tc>
          <w:tcPr>
            <w:tcW w:type="dxa" w:w="1043"/>
            <w:vAlign w:val="top"/>
          </w:tcPr>
          <w:p>
            <w:pPr>
              <w:spacing w:after="80" w:before="60" w:line="276" w:lineRule="auto"/>
            </w:pPr>
            <w:r>
              <w:rPr>
                <w:sz w:val="18"/>
              </w:rPr>
              <w:t>CVD/PECVD</w:t>
            </w:r>
          </w:p>
        </w:tc>
        <w:tc>
          <w:tcPr>
            <w:tcW w:type="dxa" w:w="1831"/>
            <w:vAlign w:val="top"/>
          </w:tcPr>
          <w:p>
            <w:pPr>
              <w:spacing w:after="80" w:before="60" w:line="276" w:lineRule="auto"/>
            </w:pPr>
            <w:r>
              <w:rPr>
                <w:sz w:val="18"/>
              </w:rPr>
              <w:t>用化学反应形成介质、半导体等膜</w:t>
            </w:r>
          </w:p>
        </w:tc>
        <w:tc>
          <w:tcPr>
            <w:tcW w:type="dxa" w:w="3285"/>
            <w:vAlign w:val="top"/>
          </w:tcPr>
          <w:p>
            <w:pPr>
              <w:spacing w:after="80" w:before="60" w:line="276" w:lineRule="auto"/>
            </w:pPr>
            <w:r>
              <w:rPr>
                <w:sz w:val="18"/>
              </w:rPr>
              <w:t>成膜速率、应力、覆盖率、颗粒及热预算；PECVD 用等离子体帮助反应</w:t>
            </w:r>
          </w:p>
        </w:tc>
        <w:tc>
          <w:tcPr>
            <w:tcW w:type="dxa" w:w="3734"/>
            <w:vAlign w:val="top"/>
          </w:tcPr>
          <w:p>
            <w:pPr>
              <w:spacing w:after="80" w:before="60" w:line="276" w:lineRule="auto"/>
            </w:pPr>
            <w:r>
              <w:rPr>
                <w:sz w:val="18"/>
              </w:rPr>
              <w:t>Applied Materials 介质沉积；TEL 批量 LPCVD；拓荆 PECVD。</w:t>
            </w:r>
            <w:hyperlink r:id="rId203">
              <w:r>
                <w:rPr>
                  <w:color w:val="4338CA"/>
                </w:rPr>
                <w:t>[F002]</w:t>
              </w:r>
            </w:hyperlink>
            <w:hyperlink r:id="rId206">
              <w:r>
                <w:rPr>
                  <w:color w:val="4338CA"/>
                </w:rPr>
                <w:t>[F011]</w:t>
              </w:r>
            </w:hyperlink>
          </w:p>
        </w:tc>
      </w:tr>
      <w:tr>
        <w:trPr>
          <w:cantSplit/>
        </w:trPr>
        <w:tc>
          <w:tcPr>
            <w:tcW w:type="dxa" w:w="1043"/>
            <w:vAlign w:val="top"/>
          </w:tcPr>
          <w:p>
            <w:pPr>
              <w:spacing w:after="80" w:before="60" w:line="276" w:lineRule="auto"/>
            </w:pPr>
            <w:r>
              <w:rPr>
                <w:sz w:val="18"/>
              </w:rPr>
              <w:t>ALD/PEALD</w:t>
            </w:r>
          </w:p>
        </w:tc>
        <w:tc>
          <w:tcPr>
            <w:tcW w:type="dxa" w:w="1831"/>
            <w:vAlign w:val="top"/>
          </w:tcPr>
          <w:p>
            <w:pPr>
              <w:spacing w:after="80" w:before="60" w:line="276" w:lineRule="auto"/>
            </w:pPr>
            <w:r>
              <w:rPr>
                <w:sz w:val="18"/>
              </w:rPr>
              <w:t>在复杂三维表面控制极薄膜厚</w:t>
            </w:r>
          </w:p>
        </w:tc>
        <w:tc>
          <w:tcPr>
            <w:tcW w:type="dxa" w:w="3285"/>
            <w:vAlign w:val="top"/>
          </w:tcPr>
          <w:p>
            <w:pPr>
              <w:spacing w:after="80" w:before="60" w:line="276" w:lineRule="auto"/>
            </w:pPr>
            <w:r>
              <w:rPr>
                <w:sz w:val="18"/>
              </w:rPr>
              <w:t>表面反应控制、共形性、杂质、循环时间、批量一致性</w:t>
            </w:r>
          </w:p>
        </w:tc>
        <w:tc>
          <w:tcPr>
            <w:tcW w:type="dxa" w:w="3734"/>
            <w:vAlign w:val="top"/>
          </w:tcPr>
          <w:p>
            <w:pPr>
              <w:spacing w:after="80" w:before="60" w:line="276" w:lineRule="auto"/>
            </w:pPr>
            <w:r>
              <w:rPr>
                <w:sz w:val="18"/>
              </w:rPr>
              <w:t>ASM Pulsar/EmerALD/Synergis；不能把“有 ALD”理解为所有材料、所有形貌通吃。</w:t>
            </w:r>
            <w:hyperlink r:id="rId53">
              <w:r>
                <w:rPr>
                  <w:color w:val="4338CA"/>
                </w:rPr>
                <w:t>[F005]</w:t>
              </w:r>
            </w:hyperlink>
          </w:p>
        </w:tc>
      </w:tr>
      <w:tr>
        <w:trPr>
          <w:cantSplit/>
        </w:trPr>
        <w:tc>
          <w:tcPr>
            <w:tcW w:type="dxa" w:w="1043"/>
            <w:vAlign w:val="top"/>
          </w:tcPr>
          <w:p>
            <w:pPr>
              <w:spacing w:after="80" w:before="60" w:line="276" w:lineRule="auto"/>
            </w:pPr>
            <w:r>
              <w:rPr>
                <w:sz w:val="18"/>
              </w:rPr>
              <w:t>PVD、金属沉积、电镀</w:t>
            </w:r>
          </w:p>
        </w:tc>
        <w:tc>
          <w:tcPr>
            <w:tcW w:type="dxa" w:w="1831"/>
            <w:vAlign w:val="top"/>
          </w:tcPr>
          <w:p>
            <w:pPr>
              <w:spacing w:after="80" w:before="60" w:line="276" w:lineRule="auto"/>
            </w:pPr>
            <w:r>
              <w:rPr>
                <w:sz w:val="18"/>
              </w:rPr>
              <w:t>提供金属膜、阻挡层、种子层及填充</w:t>
            </w:r>
          </w:p>
        </w:tc>
        <w:tc>
          <w:tcPr>
            <w:tcW w:type="dxa" w:w="3285"/>
            <w:vAlign w:val="top"/>
          </w:tcPr>
          <w:p>
            <w:pPr>
              <w:spacing w:after="80" w:before="60" w:line="276" w:lineRule="auto"/>
            </w:pPr>
            <w:r>
              <w:rPr>
                <w:sz w:val="18"/>
              </w:rPr>
              <w:t>电阻、附着、空洞、填充形貌、金属污染</w:t>
            </w:r>
          </w:p>
        </w:tc>
        <w:tc>
          <w:tcPr>
            <w:tcW w:type="dxa" w:w="3734"/>
            <w:vAlign w:val="top"/>
          </w:tcPr>
          <w:p>
            <w:pPr>
              <w:spacing w:after="80" w:before="60" w:line="276" w:lineRule="auto"/>
            </w:pPr>
            <w:r>
              <w:rPr>
                <w:sz w:val="18"/>
              </w:rPr>
              <w:t>Applied Materials 金属沉积/电镀；北方华创 PVD。</w:t>
            </w:r>
            <w:hyperlink r:id="rId203">
              <w:r>
                <w:rPr>
                  <w:color w:val="4338CA"/>
                </w:rPr>
                <w:t>[F002]</w:t>
              </w:r>
            </w:hyperlink>
            <w:hyperlink r:id="rId207">
              <w:r>
                <w:rPr>
                  <w:color w:val="4338CA"/>
                </w:rPr>
                <w:t>[F009]</w:t>
              </w:r>
            </w:hyperlink>
          </w:p>
        </w:tc>
      </w:tr>
      <w:tr>
        <w:trPr>
          <w:cantSplit/>
        </w:trPr>
        <w:tc>
          <w:tcPr>
            <w:tcW w:type="dxa" w:w="1043"/>
            <w:vAlign w:val="top"/>
          </w:tcPr>
          <w:p>
            <w:pPr>
              <w:spacing w:after="80" w:before="60" w:line="276" w:lineRule="auto"/>
            </w:pPr>
            <w:r>
              <w:rPr>
                <w:sz w:val="18"/>
              </w:rPr>
              <w:t>涂胶、曝光、显影</w:t>
            </w:r>
          </w:p>
        </w:tc>
        <w:tc>
          <w:tcPr>
            <w:tcW w:type="dxa" w:w="1831"/>
            <w:vAlign w:val="top"/>
          </w:tcPr>
          <w:p>
            <w:pPr>
              <w:spacing w:after="80" w:before="60" w:line="276" w:lineRule="auto"/>
            </w:pPr>
            <w:r>
              <w:rPr>
                <w:sz w:val="18"/>
              </w:rPr>
              <w:t>将版图转换为光刻胶图案</w:t>
            </w:r>
          </w:p>
        </w:tc>
        <w:tc>
          <w:tcPr>
            <w:tcW w:type="dxa" w:w="3285"/>
            <w:vAlign w:val="top"/>
          </w:tcPr>
          <w:p>
            <w:pPr>
              <w:spacing w:after="80" w:before="60" w:line="276" w:lineRule="auto"/>
            </w:pPr>
            <w:r>
              <w:rPr>
                <w:sz w:val="18"/>
              </w:rPr>
              <w:t>分辨率、套刻、焦深、线边粗糙度、随机缺陷与产能</w:t>
            </w:r>
          </w:p>
        </w:tc>
        <w:tc>
          <w:tcPr>
            <w:tcW w:type="dxa" w:w="3734"/>
            <w:vAlign w:val="top"/>
          </w:tcPr>
          <w:p>
            <w:pPr>
              <w:spacing w:after="80" w:before="60" w:line="276" w:lineRule="auto"/>
            </w:pPr>
            <w:r>
              <w:rPr>
                <w:sz w:val="18"/>
              </w:rPr>
              <w:t>TEL 涂胶显影；ASML EUV/DUV；TOK 配套光刻材料。</w:t>
            </w:r>
            <w:hyperlink r:id="rId202">
              <w:r>
                <w:rPr>
                  <w:color w:val="4338CA"/>
                </w:rPr>
                <w:t>[F001]</w:t>
              </w:r>
            </w:hyperlink>
            <w:hyperlink r:id="rId208">
              <w:r>
                <w:rPr>
                  <w:color w:val="4338CA"/>
                </w:rPr>
                <w:t>[F003]</w:t>
              </w:r>
            </w:hyperlink>
            <w:hyperlink r:id="rId209">
              <w:r>
                <w:rPr>
                  <w:color w:val="4338CA"/>
                </w:rPr>
                <w:t>[F044]</w:t>
              </w:r>
            </w:hyperlink>
          </w:p>
        </w:tc>
      </w:tr>
      <w:tr>
        <w:trPr>
          <w:cantSplit/>
        </w:trPr>
        <w:tc>
          <w:tcPr>
            <w:tcW w:type="dxa" w:w="1043"/>
            <w:vAlign w:val="top"/>
          </w:tcPr>
          <w:p>
            <w:pPr>
              <w:spacing w:after="80" w:before="60" w:line="276" w:lineRule="auto"/>
            </w:pPr>
            <w:r>
              <w:rPr>
                <w:sz w:val="18"/>
              </w:rPr>
              <w:t>刻蚀、选择性去除</w:t>
            </w:r>
          </w:p>
        </w:tc>
        <w:tc>
          <w:tcPr>
            <w:tcW w:type="dxa" w:w="1831"/>
            <w:vAlign w:val="top"/>
          </w:tcPr>
          <w:p>
            <w:pPr>
              <w:spacing w:after="80" w:before="60" w:line="276" w:lineRule="auto"/>
            </w:pPr>
            <w:r>
              <w:rPr>
                <w:sz w:val="18"/>
              </w:rPr>
              <w:t>把图案转移到下层，或移除指定材料</w:t>
            </w:r>
          </w:p>
        </w:tc>
        <w:tc>
          <w:tcPr>
            <w:tcW w:type="dxa" w:w="3285"/>
            <w:vAlign w:val="top"/>
          </w:tcPr>
          <w:p>
            <w:pPr>
              <w:spacing w:after="80" w:before="60" w:line="276" w:lineRule="auto"/>
            </w:pPr>
            <w:r>
              <w:rPr>
                <w:sz w:val="18"/>
              </w:rPr>
              <w:t>各向异性、选择比、深宽比、侧壁、底部损伤、终点控制</w:t>
            </w:r>
          </w:p>
        </w:tc>
        <w:tc>
          <w:tcPr>
            <w:tcW w:type="dxa" w:w="3734"/>
            <w:vAlign w:val="top"/>
          </w:tcPr>
          <w:p>
            <w:pPr>
              <w:spacing w:after="80" w:before="60" w:line="276" w:lineRule="auto"/>
            </w:pPr>
            <w:r>
              <w:rPr>
                <w:sz w:val="18"/>
              </w:rPr>
              <w:t>Lam、TEL；中微 CCP/ICP/TSV；北方华创。</w:t>
            </w:r>
            <w:hyperlink r:id="rId50">
              <w:r>
                <w:rPr>
                  <w:color w:val="4338CA"/>
                </w:rPr>
                <w:t>[F007]</w:t>
              </w:r>
            </w:hyperlink>
            <w:hyperlink r:id="rId210">
              <w:r>
                <w:rPr>
                  <w:color w:val="4338CA"/>
                </w:rPr>
                <w:t>[F010]</w:t>
              </w:r>
            </w:hyperlink>
            <w:hyperlink r:id="rId207">
              <w:r>
                <w:rPr>
                  <w:color w:val="4338CA"/>
                </w:rPr>
                <w:t>[F009]</w:t>
              </w:r>
            </w:hyperlink>
          </w:p>
        </w:tc>
      </w:tr>
      <w:tr>
        <w:trPr>
          <w:cantSplit/>
        </w:trPr>
        <w:tc>
          <w:tcPr>
            <w:tcW w:type="dxa" w:w="1043"/>
            <w:vAlign w:val="top"/>
          </w:tcPr>
          <w:p>
            <w:pPr>
              <w:spacing w:after="80" w:before="60" w:line="276" w:lineRule="auto"/>
            </w:pPr>
            <w:r>
              <w:rPr>
                <w:sz w:val="18"/>
              </w:rPr>
              <w:t>离子注入、退火</w:t>
            </w:r>
          </w:p>
        </w:tc>
        <w:tc>
          <w:tcPr>
            <w:tcW w:type="dxa" w:w="1831"/>
            <w:vAlign w:val="top"/>
          </w:tcPr>
          <w:p>
            <w:pPr>
              <w:spacing w:after="80" w:before="60" w:line="276" w:lineRule="auto"/>
            </w:pPr>
            <w:r>
              <w:rPr>
                <w:sz w:val="18"/>
              </w:rPr>
              <w:t>调整掺杂并激活，修复损伤</w:t>
            </w:r>
          </w:p>
        </w:tc>
        <w:tc>
          <w:tcPr>
            <w:tcW w:type="dxa" w:w="3285"/>
            <w:vAlign w:val="top"/>
          </w:tcPr>
          <w:p>
            <w:pPr>
              <w:spacing w:after="80" w:before="60" w:line="276" w:lineRule="auto"/>
            </w:pPr>
            <w:r>
              <w:rPr>
                <w:sz w:val="18"/>
              </w:rPr>
              <w:t>剂量、能量、均匀性、结深、热预算</w:t>
            </w:r>
          </w:p>
        </w:tc>
        <w:tc>
          <w:tcPr>
            <w:tcW w:type="dxa" w:w="3734"/>
            <w:vAlign w:val="top"/>
          </w:tcPr>
          <w:p>
            <w:pPr>
              <w:spacing w:after="80" w:before="60" w:line="276" w:lineRule="auto"/>
            </w:pPr>
            <w:r>
              <w:rPr>
                <w:sz w:val="18"/>
              </w:rPr>
              <w:t>Applied Materials 注入/热处理；北方华创相关系列。</w:t>
            </w:r>
            <w:hyperlink r:id="rId203">
              <w:r>
                <w:rPr>
                  <w:color w:val="4338CA"/>
                </w:rPr>
                <w:t>[F002]</w:t>
              </w:r>
            </w:hyperlink>
            <w:hyperlink r:id="rId207">
              <w:r>
                <w:rPr>
                  <w:color w:val="4338CA"/>
                </w:rPr>
                <w:t>[F009]</w:t>
              </w:r>
            </w:hyperlink>
          </w:p>
        </w:tc>
      </w:tr>
      <w:tr>
        <w:trPr>
          <w:cantSplit/>
        </w:trPr>
        <w:tc>
          <w:tcPr>
            <w:tcW w:type="dxa" w:w="1043"/>
            <w:vAlign w:val="top"/>
          </w:tcPr>
          <w:p>
            <w:pPr>
              <w:spacing w:after="80" w:before="60" w:line="276" w:lineRule="auto"/>
            </w:pPr>
            <w:r>
              <w:rPr>
                <w:sz w:val="18"/>
              </w:rPr>
              <w:t>CMP</w:t>
            </w:r>
          </w:p>
        </w:tc>
        <w:tc>
          <w:tcPr>
            <w:tcW w:type="dxa" w:w="1831"/>
            <w:vAlign w:val="top"/>
          </w:tcPr>
          <w:p>
            <w:pPr>
              <w:spacing w:after="80" w:before="60" w:line="276" w:lineRule="auto"/>
            </w:pPr>
            <w:r>
              <w:rPr>
                <w:sz w:val="18"/>
              </w:rPr>
              <w:t>将表面重新变平，支持下一层图形化或键合</w:t>
            </w:r>
          </w:p>
        </w:tc>
        <w:tc>
          <w:tcPr>
            <w:tcW w:type="dxa" w:w="3285"/>
            <w:vAlign w:val="top"/>
          </w:tcPr>
          <w:p>
            <w:pPr>
              <w:spacing w:after="80" w:before="60" w:line="276" w:lineRule="auto"/>
            </w:pPr>
            <w:r>
              <w:rPr>
                <w:sz w:val="18"/>
              </w:rPr>
              <w:t>去除速率、选择性、dishing/erosion、划伤和片内均匀性</w:t>
            </w:r>
          </w:p>
        </w:tc>
        <w:tc>
          <w:tcPr>
            <w:tcW w:type="dxa" w:w="3734"/>
            <w:vAlign w:val="top"/>
          </w:tcPr>
          <w:p>
            <w:pPr>
              <w:spacing w:after="80" w:before="60" w:line="276" w:lineRule="auto"/>
            </w:pPr>
            <w:r>
              <w:rPr>
                <w:sz w:val="18"/>
              </w:rPr>
              <w:t>Applied Materials、荏原；抛光机与抛光液、垫、过滤器一起决定结果。</w:t>
            </w:r>
            <w:hyperlink r:id="rId211">
              <w:r>
                <w:rPr>
                  <w:color w:val="4338CA"/>
                </w:rPr>
                <w:t>[F013]</w:t>
              </w:r>
            </w:hyperlink>
            <w:hyperlink r:id="rId212">
              <w:r>
                <w:rPr>
                  <w:color w:val="4338CA"/>
                </w:rPr>
                <w:t>[F023]</w:t>
              </w:r>
            </w:hyperlink>
          </w:p>
        </w:tc>
      </w:tr>
      <w:tr>
        <w:trPr>
          <w:cantSplit/>
        </w:trPr>
        <w:tc>
          <w:tcPr>
            <w:tcW w:type="dxa" w:w="1043"/>
            <w:vAlign w:val="top"/>
          </w:tcPr>
          <w:p>
            <w:pPr>
              <w:spacing w:after="80" w:before="60" w:line="276" w:lineRule="auto"/>
            </w:pPr>
            <w:r>
              <w:rPr>
                <w:sz w:val="18"/>
              </w:rPr>
              <w:t>去胶、湿洗、干洗及干燥</w:t>
            </w:r>
          </w:p>
        </w:tc>
        <w:tc>
          <w:tcPr>
            <w:tcW w:type="dxa" w:w="1831"/>
            <w:vAlign w:val="top"/>
          </w:tcPr>
          <w:p>
            <w:pPr>
              <w:spacing w:after="80" w:before="60" w:line="276" w:lineRule="auto"/>
            </w:pPr>
            <w:r>
              <w:rPr>
                <w:sz w:val="18"/>
              </w:rPr>
              <w:t>去除残胶、颗粒、金属和工艺残留</w:t>
            </w:r>
          </w:p>
        </w:tc>
        <w:tc>
          <w:tcPr>
            <w:tcW w:type="dxa" w:w="3285"/>
            <w:vAlign w:val="top"/>
          </w:tcPr>
          <w:p>
            <w:pPr>
              <w:spacing w:after="80" w:before="60" w:line="276" w:lineRule="auto"/>
            </w:pPr>
            <w:r>
              <w:rPr>
                <w:sz w:val="18"/>
              </w:rPr>
              <w:t>清洁率与材料损失的平衡、脆弱结构损伤、干燥水痕</w:t>
            </w:r>
          </w:p>
        </w:tc>
        <w:tc>
          <w:tcPr>
            <w:tcW w:type="dxa" w:w="3734"/>
            <w:vAlign w:val="top"/>
          </w:tcPr>
          <w:p>
            <w:pPr>
              <w:spacing w:after="80" w:before="60" w:line="276" w:lineRule="auto"/>
            </w:pPr>
            <w:r>
              <w:rPr>
                <w:sz w:val="18"/>
              </w:rPr>
              <w:t>TEL、盛美上海；清洗并非只有最后一道。</w:t>
            </w:r>
            <w:hyperlink r:id="rId202">
              <w:r>
                <w:rPr>
                  <w:color w:val="4338CA"/>
                </w:rPr>
                <w:t>[F001]</w:t>
              </w:r>
            </w:hyperlink>
            <w:hyperlink r:id="rId213">
              <w:r>
                <w:rPr>
                  <w:color w:val="4338CA"/>
                </w:rPr>
                <w:t>[F012]</w:t>
              </w:r>
            </w:hyperlink>
          </w:p>
        </w:tc>
      </w:tr>
      <w:tr>
        <w:trPr>
          <w:cantSplit/>
        </w:trPr>
        <w:tc>
          <w:tcPr>
            <w:tcW w:type="dxa" w:w="1043"/>
            <w:vAlign w:val="top"/>
          </w:tcPr>
          <w:p>
            <w:pPr>
              <w:spacing w:after="80" w:before="60" w:line="276" w:lineRule="auto"/>
            </w:pPr>
            <w:r>
              <w:rPr>
                <w:sz w:val="18"/>
              </w:rPr>
              <w:t>检测、量测、缺陷复查</w:t>
            </w:r>
          </w:p>
        </w:tc>
        <w:tc>
          <w:tcPr>
            <w:tcW w:type="dxa" w:w="1831"/>
            <w:vAlign w:val="top"/>
          </w:tcPr>
          <w:p>
            <w:pPr>
              <w:spacing w:after="80" w:before="60" w:line="276" w:lineRule="auto"/>
            </w:pPr>
            <w:r>
              <w:rPr>
                <w:sz w:val="18"/>
              </w:rPr>
              <w:t>找到哪里失控，给设备反馈</w:t>
            </w:r>
          </w:p>
        </w:tc>
        <w:tc>
          <w:tcPr>
            <w:tcW w:type="dxa" w:w="3285"/>
            <w:vAlign w:val="top"/>
          </w:tcPr>
          <w:p>
            <w:pPr>
              <w:spacing w:after="80" w:before="60" w:line="276" w:lineRule="auto"/>
            </w:pPr>
            <w:r>
              <w:rPr>
                <w:sz w:val="18"/>
              </w:rPr>
              <w:t>CD、套刻、膜厚、形貌、缺陷捕获率、误报率、每小时晶圆数</w:t>
            </w:r>
          </w:p>
        </w:tc>
        <w:tc>
          <w:tcPr>
            <w:tcW w:type="dxa" w:w="3734"/>
            <w:vAlign w:val="top"/>
          </w:tcPr>
          <w:p>
            <w:pPr>
              <w:spacing w:after="80" w:before="60" w:line="276" w:lineRule="auto"/>
            </w:pPr>
            <w:r>
              <w:rPr>
                <w:sz w:val="18"/>
              </w:rPr>
              <w:t>KLA 光学/电子束、掩模与化学过程控制组合；检测缺陷和测量尺寸是不同任务。</w:t>
            </w:r>
            <w:hyperlink r:id="rId214">
              <w:r>
                <w:rPr>
                  <w:color w:val="4338CA"/>
                </w:rPr>
                <w:t>[F008]</w:t>
              </w:r>
            </w:hyperlink>
          </w:p>
        </w:tc>
      </w:tr>
    </w:tbl>
    <w:p>
      <w:pPr>
        <w:spacing w:after="0"/>
      </w:pPr>
    </w:p>
    <w:p>
      <w:pPr>
        <w:pStyle w:val="Heading2"/>
      </w:pPr>
      <w:r>
        <w:t>三项结构变化为何改变设备需求</w:t>
      </w:r>
    </w:p>
    <w:p>
      <w:pPr/>
      <w:r>
        <w:rPr>
          <w:b/>
        </w:rPr>
        <w:t>从平面到 FinFET/GAA。</w:t>
      </w:r>
      <w:r>
        <w:t xml:space="preserve"> GAA 的沟道被栅极环绕；以 Si/SiGe 纳米片 GAA 为例，工艺需要多材料层堆叠、释放沟道、选择性去除及三维表面覆盖。ASM 的技术材料把 Si/SiGe 外延、high-k 栅介质和 ALD 列为相关能力。推论：设备价值向“在不伤害相邻材料的情况下，稳定加工某一层”移动；不能只按晶圆直径或标称节点评价难度。</w:t>
      </w:r>
      <w:hyperlink r:id="rId53">
        <w:r>
          <w:rPr>
            <w:color w:val="4338CA"/>
          </w:rPr>
          <w:t>[F005]</w:t>
        </w:r>
      </w:hyperlink>
      <w:hyperlink r:id="rId204">
        <w:r>
          <w:rPr>
            <w:color w:val="4338CA"/>
          </w:rPr>
          <w:t>[F006]</w:t>
        </w:r>
      </w:hyperlink>
    </w:p>
    <w:p>
      <w:pPr/>
      <w:r>
        <w:rPr>
          <w:b/>
        </w:rPr>
        <w:t>从正面供电到背面供电。</w:t>
      </w:r>
      <w:r>
        <w:t xml:space="preserve"> 背面供电把电源布线移到晶圆背面，为前面信号布线释放空间并改善供电路径；制造上涉及承载、减薄、背面对准、介质和金属沉积、刻蚀、CMP 等协同。Applied Materials 的原理页含“所有芯片仍正面供电”的历史化表述，本报告只引用其结构定义与工艺范围，不把该句作为 2026 年产业现状。</w:t>
      </w:r>
      <w:hyperlink r:id="rId215">
        <w:r>
          <w:rPr>
            <w:color w:val="4338CA"/>
          </w:rPr>
          <w:t>[F004]</w:t>
        </w:r>
      </w:hyperlink>
    </w:p>
    <w:p>
      <w:pPr/>
      <w:r>
        <w:rPr>
          <w:b/>
        </w:rPr>
        <w:t>从平面存储到高层数 NAND。</w:t>
      </w:r>
      <w:r>
        <w:t xml:space="preserve"> NAND 的难点不是只把平面线宽缩小，而是在厚叠层内加工深而直的孔，控制整片膜应力、字线电阻与填充。Lam 的 Cryo 3.0 面向 400 层及以上器件的工艺需求，其页面同时列出氧化物/氮化物叠层、钨/钼金属化及翘曲管理。这是设备适用性和厂商目标，不是所有客户已量产 400 层的证明。</w:t>
      </w:r>
      <w:hyperlink r:id="rId50">
        <w:r>
          <w:rPr>
            <w:color w:val="4338CA"/>
          </w:rPr>
          <w:t>[F007]</w:t>
        </w:r>
      </w:hyperlink>
    </w:p>
    <w:p>
      <w:pPr>
        <w:pStyle w:val="Heading2"/>
      </w:pPr>
      <w:r>
        <w:t>光刻机背后还有哪些不可省略的层</w:t>
      </w:r>
    </w:p>
    <w:p>
      <w:pPr/>
      <w:r>
        <w:t>ASML 的光源路线包括 KrF 248 nm、ArF 193 nm、EUV 13.5 nm；EUV 用激光激发锡滴等离子体产生光。波长不等于节点名称，不能把“13.5 nm 光”读成“只能制造 13.5 nm 芯片”。EUV 的传播与成像采用反射镜体系；DUV 主要使用透镜体系，光学系统、污染与真空环境的要求因此不同。</w:t>
      </w:r>
      <w:hyperlink r:id="rId208">
        <w:r>
          <w:rPr>
            <w:color w:val="4338CA"/>
          </w:rPr>
          <w:t>[F003]</w:t>
        </w:r>
      </w:hyperlink>
      <w:hyperlink r:id="rId216">
        <w:r>
          <w:rPr>
            <w:color w:val="4338CA"/>
          </w:rPr>
          <w:t>[F054]</w:t>
        </w:r>
      </w:hyperlink>
    </w:p>
    <w:p>
      <w:pPr/>
      <w:r>
        <w:t>图形化还依赖掩模基板、吸收或反射膜、写版、掩模检测、光刻胶、显影、计量与计算修正。信越的掩模 blank 是待写入图案的基材，和最终电路掩模不是一个产品；TOK 的 EUV/ArF/KrF 胶也不能视为同一配方跨光源直接使用。</w:t>
      </w:r>
      <w:hyperlink r:id="rId217">
        <w:r>
          <w:rPr>
            <w:color w:val="4338CA"/>
          </w:rPr>
          <w:t>[F020]</w:t>
        </w:r>
      </w:hyperlink>
      <w:hyperlink r:id="rId209">
        <w:r>
          <w:rPr>
            <w:color w:val="4338CA"/>
          </w:rPr>
          <w:t>[F044]</w:t>
        </w:r>
      </w:hyperlink>
    </w:p>
    <w:p>
      <w:pPr/>
      <w:r>
        <w:rPr>
          <w:b/>
        </w:rPr>
        <w:t>CASPA 对应切口：Multibeam。</w:t>
      </w:r>
      <w:r>
        <w:t xml:space="preserve"> 该公司的多柱电子束直写提供无掩模图形化，官网定位包含先进封装、硅光、化合物半导体和高混合度原型制造。推论：应以目标图形面积、写入时间、设备利用率、掩模摊销及对非平面表面的适应性，和传统方案做项目级比较；不能因“无需掩模”就推出能经济替代先进逻辑所有关键层的 EUV。官网的倍数性能宣传未在此转为独立验证结果。</w:t>
      </w:r>
      <w:hyperlink r:id="rId218">
        <w:r>
          <w:rPr>
            <w:color w:val="4338CA"/>
          </w:rPr>
          <w:t>[F018]</w:t>
        </w:r>
      </w:hyperlink>
    </w:p>
    <w:p>
      <w:pPr>
        <w:pStyle w:val="Heading2"/>
      </w:pPr>
      <w:r>
        <w:t>晶圆厂也是一座精密化工厂</w:t>
      </w:r>
    </w:p>
    <w:p>
      <w:pPr/>
      <w:r>
        <w:t>晶圆工艺机器需要真空泵、压力调节阀、质量流量控制、RF 电源与匹配、温控、超纯流体、尾气处理等子系统。Edwards 的集成方案将泵、排气加热、气体探测、冷却水与控制信号一起设计；荏原公开的工厂图将洁净室设备、sub-fab 真空/尾气/冷机与厂务设施分层。推论：工艺强度增加可给子系统和维护服务带来需求，但必须核对每腔价值量及机型配套，而不能按 GPU 数量线性外推。</w:t>
      </w:r>
      <w:hyperlink r:id="rId219">
        <w:r>
          <w:rPr>
            <w:color w:val="4338CA"/>
          </w:rPr>
          <w:t>[F014]</w:t>
        </w:r>
      </w:hyperlink>
      <w:hyperlink r:id="rId220">
        <w:r>
          <w:rPr>
            <w:color w:val="4338CA"/>
          </w:rPr>
          <w:t>[F074]</w:t>
        </w:r>
      </w:hyperlink>
    </w:p>
    <w:p>
      <w:pPr/>
      <w:r>
        <w:t>RF 电源决定等离子体能量耦合的一部分，阀和泵共同维持工艺压力及洁净排气。MKS 的脉冲 RF 案例说明三维器件会提高控制要求；VAT 的产品定位是高性能真空阀。真实壁垒应看动态响应、颗粒、腐蚀寿命、维修周期、和主机工艺认证，而不是“零部件单价低所以容易替代”。</w:t>
      </w:r>
      <w:hyperlink r:id="rId221">
        <w:r>
          <w:rPr>
            <w:color w:val="4338CA"/>
          </w:rPr>
          <w:t>[F015]</w:t>
        </w:r>
      </w:hyperlink>
      <w:hyperlink r:id="rId222">
        <w:r>
          <w:rPr>
            <w:color w:val="4338CA"/>
          </w:rPr>
          <w:t>[F016]</w:t>
        </w:r>
      </w:hyperlink>
    </w:p>
    <w:p>
      <w:pPr/>
      <w:r>
        <w:t>区域设备公司与验证口径见下一节；材料体系与封装测试分别见第 06、07 章。</w:t>
      </w:r>
    </w:p>
    <w:p>
      <w:pPr>
        <w:pStyle w:val="Heading1"/>
        <w:pageBreakBefore/>
      </w:pPr>
      <w:r>
        <w:t>05B  设备公司地图 按工艺能力定位</w:t>
      </w:r>
    </w:p>
    <w:p>
      <w:pPr/>
      <w:r>
        <w:t>本表是经过公开产品资料核对的代表性能力地图，不是份额排行榜，也不表示同一行各公司在相同节点、材料和客户的资格等价。设备选型最终要落到“哪一道工艺、哪种膜、哪种结构、哪家工厂已验收”。</w:t>
      </w:r>
      <w:hyperlink r:id="rId203">
        <w:r>
          <w:rPr>
            <w:color w:val="4338CA"/>
          </w:rPr>
          <w:t>[F002]</w:t>
        </w:r>
      </w:hyperlink>
      <w:hyperlink r:id="rId207">
        <w:r>
          <w:rPr>
            <w:color w:val="4338CA"/>
          </w:rPr>
          <w:t>[F009]</w:t>
        </w:r>
      </w:hyperlink>
      <w:hyperlink r:id="rId210">
        <w:r>
          <w:rPr>
            <w:color w:val="4338CA"/>
          </w:rPr>
          <w:t>[F010]</w:t>
        </w:r>
      </w:hyperlink>
    </w:p>
    <w:tbl>
      <w:tblPr>
        <w:tblW w:type="auto" w:w="0"/>
        <w:jc w:val="center"/>
        <w:tblLayout w:type="fixed"/>
        <w:tblLook w:firstColumn="1" w:firstRow="1" w:lastColumn="0" w:lastRow="0" w:noHBand="0" w:noVBand="1" w:val="04A0"/>
      </w:tblPr>
      <w:tblGrid>
        <w:gridCol w:w="1908"/>
        <w:gridCol w:w="3532"/>
        <w:gridCol w:w="4453"/>
      </w:tblGrid>
      <w:tr>
        <w:trPr>
          <w:tblHeader/>
        </w:trPr>
        <w:tc>
          <w:tcPr>
            <w:tcW w:type="dxa" w:w="1908"/>
            <w:vAlign w:val="top"/>
            <w:shd w:fill="E0E7FF"/>
          </w:tcPr>
          <w:p>
            <w:pPr>
              <w:spacing w:after="80" w:before="60" w:line="276" w:lineRule="auto"/>
            </w:pPr>
            <w:r>
              <w:rPr>
                <w:b/>
                <w:sz w:val="18"/>
              </w:rPr>
              <w:t>地区/公司</w:t>
            </w:r>
          </w:p>
        </w:tc>
        <w:tc>
          <w:tcPr>
            <w:tcW w:type="dxa" w:w="3532"/>
            <w:vAlign w:val="top"/>
            <w:shd w:fill="E0E7FF"/>
          </w:tcPr>
          <w:p>
            <w:pPr>
              <w:spacing w:after="80" w:before="60" w:line="276" w:lineRule="auto"/>
            </w:pPr>
            <w:r>
              <w:rPr>
                <w:b/>
                <w:sz w:val="18"/>
              </w:rPr>
              <w:t>可核实的能力</w:t>
            </w:r>
          </w:p>
        </w:tc>
        <w:tc>
          <w:tcPr>
            <w:tcW w:type="dxa" w:w="4453"/>
            <w:vAlign w:val="top"/>
            <w:shd w:fill="E0E7FF"/>
          </w:tcPr>
          <w:p>
            <w:pPr>
              <w:spacing w:after="80" w:before="60" w:line="276" w:lineRule="auto"/>
            </w:pPr>
            <w:r>
              <w:rPr>
                <w:b/>
                <w:sz w:val="18"/>
              </w:rPr>
              <w:t>产业位置与比较边界</w:t>
            </w:r>
          </w:p>
        </w:tc>
      </w:tr>
      <w:tr>
        <w:trPr>
          <w:cantSplit/>
        </w:trPr>
        <w:tc>
          <w:tcPr>
            <w:tcW w:type="dxa" w:w="1908"/>
            <w:vAlign w:val="top"/>
          </w:tcPr>
          <w:p>
            <w:pPr>
              <w:spacing w:after="80" w:before="60" w:line="276" w:lineRule="auto"/>
            </w:pPr>
            <w:r>
              <w:rPr>
                <w:sz w:val="18"/>
              </w:rPr>
              <w:t>美国 Applied Materials</w:t>
            </w:r>
          </w:p>
        </w:tc>
        <w:tc>
          <w:tcPr>
            <w:tcW w:type="dxa" w:w="3532"/>
            <w:vAlign w:val="top"/>
          </w:tcPr>
          <w:p>
            <w:pPr>
              <w:spacing w:after="80" w:before="60" w:line="276" w:lineRule="auto"/>
            </w:pPr>
            <w:r>
              <w:rPr>
                <w:sz w:val="18"/>
              </w:rPr>
              <w:t>沉积、外延、注入、热处理、CMP、刻蚀、异质集成</w:t>
            </w:r>
          </w:p>
        </w:tc>
        <w:tc>
          <w:tcPr>
            <w:tcW w:type="dxa" w:w="4453"/>
            <w:vAlign w:val="top"/>
          </w:tcPr>
          <w:p>
            <w:pPr>
              <w:spacing w:after="80" w:before="60" w:line="276" w:lineRule="auto"/>
            </w:pPr>
            <w:r>
              <w:rPr>
                <w:sz w:val="18"/>
              </w:rPr>
              <w:t>广工艺材料工程平台；不同产品线的客户、工艺份额须分别核实。</w:t>
            </w:r>
            <w:hyperlink r:id="rId203">
              <w:r>
                <w:rPr>
                  <w:color w:val="4338CA"/>
                </w:rPr>
                <w:t>[F002]</w:t>
              </w:r>
            </w:hyperlink>
          </w:p>
        </w:tc>
      </w:tr>
      <w:tr>
        <w:trPr>
          <w:cantSplit/>
        </w:trPr>
        <w:tc>
          <w:tcPr>
            <w:tcW w:type="dxa" w:w="1908"/>
            <w:vAlign w:val="top"/>
          </w:tcPr>
          <w:p>
            <w:pPr>
              <w:spacing w:after="80" w:before="60" w:line="276" w:lineRule="auto"/>
            </w:pPr>
            <w:r>
              <w:rPr>
                <w:sz w:val="18"/>
              </w:rPr>
              <w:t>美国 Lam Research</w:t>
            </w:r>
          </w:p>
        </w:tc>
        <w:tc>
          <w:tcPr>
            <w:tcW w:type="dxa" w:w="3532"/>
            <w:vAlign w:val="top"/>
          </w:tcPr>
          <w:p>
            <w:pPr>
              <w:spacing w:after="80" w:before="60" w:line="276" w:lineRule="auto"/>
            </w:pPr>
            <w:r>
              <w:rPr>
                <w:sz w:val="18"/>
              </w:rPr>
              <w:t>沉积、刻蚀、去胶清洗；NAND 高深宽比介质刻蚀</w:t>
            </w:r>
          </w:p>
        </w:tc>
        <w:tc>
          <w:tcPr>
            <w:tcW w:type="dxa" w:w="4453"/>
            <w:vAlign w:val="top"/>
          </w:tcPr>
          <w:p>
            <w:pPr>
              <w:spacing w:after="80" w:before="60" w:line="276" w:lineRule="auto"/>
            </w:pPr>
            <w:r>
              <w:rPr>
                <w:sz w:val="18"/>
              </w:rPr>
              <w:t>看 NAND 层数、结构和材料改变对应的工艺步骤，而不是仅看 NAND bit 增长。</w:t>
            </w:r>
            <w:hyperlink r:id="rId50">
              <w:r>
                <w:rPr>
                  <w:color w:val="4338CA"/>
                </w:rPr>
                <w:t>[F007]</w:t>
              </w:r>
            </w:hyperlink>
          </w:p>
        </w:tc>
      </w:tr>
      <w:tr>
        <w:trPr>
          <w:cantSplit/>
        </w:trPr>
        <w:tc>
          <w:tcPr>
            <w:tcW w:type="dxa" w:w="1908"/>
            <w:vAlign w:val="top"/>
          </w:tcPr>
          <w:p>
            <w:pPr>
              <w:spacing w:after="80" w:before="60" w:line="276" w:lineRule="auto"/>
            </w:pPr>
            <w:r>
              <w:rPr>
                <w:sz w:val="18"/>
              </w:rPr>
              <w:t>美国 KLA</w:t>
            </w:r>
          </w:p>
        </w:tc>
        <w:tc>
          <w:tcPr>
            <w:tcW w:type="dxa" w:w="3532"/>
            <w:vAlign w:val="top"/>
          </w:tcPr>
          <w:p>
            <w:pPr>
              <w:spacing w:after="80" w:before="60" w:line="276" w:lineRule="auto"/>
            </w:pPr>
            <w:r>
              <w:rPr>
                <w:sz w:val="18"/>
              </w:rPr>
              <w:t>晶圆、掩模、封装检测量测及过程控制软件</w:t>
            </w:r>
          </w:p>
        </w:tc>
        <w:tc>
          <w:tcPr>
            <w:tcW w:type="dxa" w:w="4453"/>
            <w:vAlign w:val="top"/>
          </w:tcPr>
          <w:p>
            <w:pPr>
              <w:spacing w:after="80" w:before="60" w:line="276" w:lineRule="auto"/>
            </w:pPr>
            <w:r>
              <w:rPr>
                <w:sz w:val="18"/>
              </w:rPr>
              <w:t>控制良率的反馈环；不是量产晶圆代工厂。</w:t>
            </w:r>
            <w:hyperlink r:id="rId214">
              <w:r>
                <w:rPr>
                  <w:color w:val="4338CA"/>
                </w:rPr>
                <w:t>[F008]</w:t>
              </w:r>
            </w:hyperlink>
          </w:p>
        </w:tc>
      </w:tr>
      <w:tr>
        <w:trPr>
          <w:cantSplit/>
        </w:trPr>
        <w:tc>
          <w:tcPr>
            <w:tcW w:type="dxa" w:w="1908"/>
            <w:vAlign w:val="top"/>
          </w:tcPr>
          <w:p>
            <w:pPr>
              <w:spacing w:after="80" w:before="60" w:line="276" w:lineRule="auto"/>
            </w:pPr>
            <w:r>
              <w:rPr>
                <w:sz w:val="18"/>
              </w:rPr>
              <w:t>美国 MKS</w:t>
            </w:r>
          </w:p>
        </w:tc>
        <w:tc>
          <w:tcPr>
            <w:tcW w:type="dxa" w:w="3532"/>
            <w:vAlign w:val="top"/>
          </w:tcPr>
          <w:p>
            <w:pPr>
              <w:spacing w:after="80" w:before="60" w:line="276" w:lineRule="auto"/>
            </w:pPr>
            <w:r>
              <w:rPr>
                <w:sz w:val="18"/>
              </w:rPr>
              <w:t>RF、气体/压力与工艺子系统相关能力</w:t>
            </w:r>
          </w:p>
        </w:tc>
        <w:tc>
          <w:tcPr>
            <w:tcW w:type="dxa" w:w="4453"/>
            <w:vAlign w:val="top"/>
          </w:tcPr>
          <w:p>
            <w:pPr>
              <w:spacing w:after="80" w:before="60" w:line="276" w:lineRule="auto"/>
            </w:pPr>
            <w:r>
              <w:rPr>
                <w:sz w:val="18"/>
              </w:rPr>
              <w:t>对接设备主机或工厂；具体子系统与 OEM 的收入关系需要财报确认。</w:t>
            </w:r>
            <w:hyperlink r:id="rId221">
              <w:r>
                <w:rPr>
                  <w:color w:val="4338CA"/>
                </w:rPr>
                <w:t>[F015]</w:t>
              </w:r>
            </w:hyperlink>
          </w:p>
        </w:tc>
      </w:tr>
      <w:tr>
        <w:trPr>
          <w:cantSplit/>
        </w:trPr>
        <w:tc>
          <w:tcPr>
            <w:tcW w:type="dxa" w:w="1908"/>
            <w:vAlign w:val="top"/>
          </w:tcPr>
          <w:p>
            <w:pPr>
              <w:spacing w:after="80" w:before="60" w:line="276" w:lineRule="auto"/>
            </w:pPr>
            <w:r>
              <w:rPr>
                <w:sz w:val="18"/>
              </w:rPr>
              <w:t>美国 Multibeam</w:t>
            </w:r>
          </w:p>
        </w:tc>
        <w:tc>
          <w:tcPr>
            <w:tcW w:type="dxa" w:w="3532"/>
            <w:vAlign w:val="top"/>
          </w:tcPr>
          <w:p>
            <w:pPr>
              <w:spacing w:after="80" w:before="60" w:line="276" w:lineRule="auto"/>
            </w:pPr>
            <w:r>
              <w:rPr>
                <w:sz w:val="18"/>
              </w:rPr>
              <w:t>多柱电子束无掩模图形化</w:t>
            </w:r>
          </w:p>
        </w:tc>
        <w:tc>
          <w:tcPr>
            <w:tcW w:type="dxa" w:w="4453"/>
            <w:vAlign w:val="top"/>
          </w:tcPr>
          <w:p>
            <w:pPr>
              <w:spacing w:after="80" w:before="60" w:line="276" w:lineRule="auto"/>
            </w:pPr>
            <w:r>
              <w:rPr>
                <w:sz w:val="18"/>
              </w:rPr>
              <w:t>适合研究其先进封装、硅光及高混合度制造场景的经济性。</w:t>
            </w:r>
            <w:hyperlink r:id="rId218">
              <w:r>
                <w:rPr>
                  <w:color w:val="4338CA"/>
                </w:rPr>
                <w:t>[F018]</w:t>
              </w:r>
            </w:hyperlink>
          </w:p>
        </w:tc>
      </w:tr>
      <w:tr>
        <w:trPr>
          <w:cantSplit/>
        </w:trPr>
        <w:tc>
          <w:tcPr>
            <w:tcW w:type="dxa" w:w="1908"/>
            <w:vAlign w:val="top"/>
          </w:tcPr>
          <w:p>
            <w:pPr>
              <w:spacing w:after="80" w:before="60" w:line="276" w:lineRule="auto"/>
            </w:pPr>
            <w:r>
              <w:rPr>
                <w:sz w:val="18"/>
              </w:rPr>
              <w:t>荷兰 ASML</w:t>
            </w:r>
          </w:p>
        </w:tc>
        <w:tc>
          <w:tcPr>
            <w:tcW w:type="dxa" w:w="3532"/>
            <w:vAlign w:val="top"/>
          </w:tcPr>
          <w:p>
            <w:pPr>
              <w:spacing w:after="80" w:before="60" w:line="276" w:lineRule="auto"/>
            </w:pPr>
            <w:r>
              <w:rPr>
                <w:sz w:val="18"/>
              </w:rPr>
              <w:t>EUV/DUV 图形化及相关量测、计算光刻</w:t>
            </w:r>
          </w:p>
        </w:tc>
        <w:tc>
          <w:tcPr>
            <w:tcW w:type="dxa" w:w="4453"/>
            <w:vAlign w:val="top"/>
          </w:tcPr>
          <w:p>
            <w:pPr>
              <w:spacing w:after="80" w:before="60" w:line="276" w:lineRule="auto"/>
            </w:pPr>
            <w:r>
              <w:rPr>
                <w:sz w:val="18"/>
              </w:rPr>
              <w:t>需区分 EUV 和 DUV、装机与产能、光源功率与可交付吞吐。</w:t>
            </w:r>
            <w:hyperlink r:id="rId208">
              <w:r>
                <w:rPr>
                  <w:color w:val="4338CA"/>
                </w:rPr>
                <w:t>[F003]</w:t>
              </w:r>
            </w:hyperlink>
            <w:hyperlink r:id="rId216">
              <w:r>
                <w:rPr>
                  <w:color w:val="4338CA"/>
                </w:rPr>
                <w:t>[F054]</w:t>
              </w:r>
            </w:hyperlink>
          </w:p>
        </w:tc>
      </w:tr>
      <w:tr>
        <w:trPr>
          <w:cantSplit/>
        </w:trPr>
        <w:tc>
          <w:tcPr>
            <w:tcW w:type="dxa" w:w="1908"/>
            <w:vAlign w:val="top"/>
          </w:tcPr>
          <w:p>
            <w:pPr>
              <w:spacing w:after="80" w:before="60" w:line="276" w:lineRule="auto"/>
            </w:pPr>
            <w:r>
              <w:rPr>
                <w:sz w:val="18"/>
              </w:rPr>
              <w:t>荷兰 ASM</w:t>
            </w:r>
          </w:p>
        </w:tc>
        <w:tc>
          <w:tcPr>
            <w:tcW w:type="dxa" w:w="3532"/>
            <w:vAlign w:val="top"/>
          </w:tcPr>
          <w:p>
            <w:pPr>
              <w:spacing w:after="80" w:before="60" w:line="276" w:lineRule="auto"/>
            </w:pPr>
            <w:r>
              <w:rPr>
                <w:sz w:val="18"/>
              </w:rPr>
              <w:t>ALD、Si/SiGe 等外延</w:t>
            </w:r>
          </w:p>
        </w:tc>
        <w:tc>
          <w:tcPr>
            <w:tcW w:type="dxa" w:w="4453"/>
            <w:vAlign w:val="top"/>
          </w:tcPr>
          <w:p>
            <w:pPr>
              <w:spacing w:after="80" w:before="60" w:line="276" w:lineRule="auto"/>
            </w:pPr>
            <w:r>
              <w:rPr>
                <w:sz w:val="18"/>
              </w:rPr>
              <w:t>共形膜与材料界面；应按具体材料、形貌和客户工艺认证比较。</w:t>
            </w:r>
            <w:hyperlink r:id="rId53">
              <w:r>
                <w:rPr>
                  <w:color w:val="4338CA"/>
                </w:rPr>
                <w:t>[F005]</w:t>
              </w:r>
            </w:hyperlink>
            <w:hyperlink r:id="rId204">
              <w:r>
                <w:rPr>
                  <w:color w:val="4338CA"/>
                </w:rPr>
                <w:t>[F006]</w:t>
              </w:r>
            </w:hyperlink>
          </w:p>
        </w:tc>
      </w:tr>
      <w:tr>
        <w:trPr>
          <w:cantSplit/>
        </w:trPr>
        <w:tc>
          <w:tcPr>
            <w:tcW w:type="dxa" w:w="1908"/>
            <w:vAlign w:val="top"/>
          </w:tcPr>
          <w:p>
            <w:pPr>
              <w:spacing w:after="80" w:before="60" w:line="276" w:lineRule="auto"/>
            </w:pPr>
            <w:r>
              <w:rPr>
                <w:sz w:val="18"/>
              </w:rPr>
              <w:t>瑞士 VAT；英国 Edwards</w:t>
            </w:r>
          </w:p>
        </w:tc>
        <w:tc>
          <w:tcPr>
            <w:tcW w:type="dxa" w:w="3532"/>
            <w:vAlign w:val="top"/>
          </w:tcPr>
          <w:p>
            <w:pPr>
              <w:spacing w:after="80" w:before="60" w:line="276" w:lineRule="auto"/>
            </w:pPr>
            <w:r>
              <w:rPr>
                <w:sz w:val="18"/>
              </w:rPr>
              <w:t>真空阀；真空泵/尾气/集成 sub-fab</w:t>
            </w:r>
          </w:p>
        </w:tc>
        <w:tc>
          <w:tcPr>
            <w:tcW w:type="dxa" w:w="4453"/>
            <w:vAlign w:val="top"/>
          </w:tcPr>
          <w:p>
            <w:pPr>
              <w:spacing w:after="80" w:before="60" w:line="276" w:lineRule="auto"/>
            </w:pPr>
            <w:r>
              <w:rPr>
                <w:sz w:val="18"/>
              </w:rPr>
              <w:t>子系统可同时服务多种工艺，需按应用和认证程度拆分。</w:t>
            </w:r>
            <w:hyperlink r:id="rId222">
              <w:r>
                <w:rPr>
                  <w:color w:val="4338CA"/>
                </w:rPr>
                <w:t>[F016]</w:t>
              </w:r>
            </w:hyperlink>
            <w:hyperlink r:id="rId219">
              <w:r>
                <w:rPr>
                  <w:color w:val="4338CA"/>
                </w:rPr>
                <w:t>[F014]</w:t>
              </w:r>
            </w:hyperlink>
          </w:p>
        </w:tc>
      </w:tr>
      <w:tr>
        <w:trPr>
          <w:cantSplit/>
        </w:trPr>
        <w:tc>
          <w:tcPr>
            <w:tcW w:type="dxa" w:w="1908"/>
            <w:vAlign w:val="top"/>
          </w:tcPr>
          <w:p>
            <w:pPr>
              <w:spacing w:after="80" w:before="60" w:line="276" w:lineRule="auto"/>
            </w:pPr>
            <w:r>
              <w:rPr>
                <w:sz w:val="18"/>
              </w:rPr>
              <w:t>日本 Tokyo Electron</w:t>
            </w:r>
          </w:p>
        </w:tc>
        <w:tc>
          <w:tcPr>
            <w:tcW w:type="dxa" w:w="3532"/>
            <w:vAlign w:val="top"/>
          </w:tcPr>
          <w:p>
            <w:pPr>
              <w:spacing w:after="80" w:before="60" w:line="276" w:lineRule="auto"/>
            </w:pPr>
            <w:r>
              <w:rPr>
                <w:sz w:val="18"/>
              </w:rPr>
              <w:t>涂胶显影、刻蚀、沉积、清洗、热处理、探针机等</w:t>
            </w:r>
          </w:p>
        </w:tc>
        <w:tc>
          <w:tcPr>
            <w:tcW w:type="dxa" w:w="4453"/>
            <w:vAlign w:val="top"/>
          </w:tcPr>
          <w:p>
            <w:pPr>
              <w:spacing w:after="80" w:before="60" w:line="276" w:lineRule="auto"/>
            </w:pPr>
            <w:r>
              <w:rPr>
                <w:sz w:val="18"/>
              </w:rPr>
              <w:t>探针机做接触定位与温控，不能单独替代电性 ATE。</w:t>
            </w:r>
            <w:hyperlink r:id="rId202">
              <w:r>
                <w:rPr>
                  <w:color w:val="4338CA"/>
                </w:rPr>
                <w:t>[F001]</w:t>
              </w:r>
            </w:hyperlink>
          </w:p>
        </w:tc>
      </w:tr>
      <w:tr>
        <w:trPr>
          <w:cantSplit/>
        </w:trPr>
        <w:tc>
          <w:tcPr>
            <w:tcW w:type="dxa" w:w="1908"/>
            <w:vAlign w:val="top"/>
          </w:tcPr>
          <w:p>
            <w:pPr>
              <w:spacing w:after="80" w:before="60" w:line="276" w:lineRule="auto"/>
            </w:pPr>
            <w:r>
              <w:rPr>
                <w:sz w:val="18"/>
              </w:rPr>
              <w:t>日本 Nikon；Canon</w:t>
            </w:r>
          </w:p>
        </w:tc>
        <w:tc>
          <w:tcPr>
            <w:tcW w:type="dxa" w:w="3532"/>
            <w:vAlign w:val="top"/>
          </w:tcPr>
          <w:p>
            <w:pPr>
              <w:spacing w:after="80" w:before="60" w:line="276" w:lineRule="auto"/>
            </w:pPr>
            <w:r>
              <w:rPr>
                <w:sz w:val="18"/>
              </w:rPr>
              <w:t>Nikon：ArF 浸没/干式及封装图形化；Canon：i-line/DUV/NIL</w:t>
            </w:r>
          </w:p>
        </w:tc>
        <w:tc>
          <w:tcPr>
            <w:tcW w:type="dxa" w:w="4453"/>
            <w:vAlign w:val="top"/>
          </w:tcPr>
          <w:p>
            <w:pPr>
              <w:spacing w:after="80" w:before="60" w:line="276" w:lineRule="auto"/>
            </w:pPr>
            <w:r>
              <w:rPr>
                <w:sz w:val="18"/>
              </w:rPr>
              <w:t>分别比较具体层的套刻、缺陷和经济性，不将 NIL 产品发布等同先进逻辑全面替代 EUV。</w:t>
            </w:r>
            <w:hyperlink r:id="rId223">
              <w:r>
                <w:rPr>
                  <w:color w:val="4338CA"/>
                </w:rPr>
                <w:t>[F080]</w:t>
              </w:r>
            </w:hyperlink>
            <w:hyperlink r:id="rId224">
              <w:r>
                <w:rPr>
                  <w:color w:val="4338CA"/>
                </w:rPr>
                <w:t>[F081]</w:t>
              </w:r>
            </w:hyperlink>
          </w:p>
        </w:tc>
      </w:tr>
      <w:tr>
        <w:trPr>
          <w:cantSplit/>
        </w:trPr>
        <w:tc>
          <w:tcPr>
            <w:tcW w:type="dxa" w:w="1908"/>
            <w:vAlign w:val="top"/>
          </w:tcPr>
          <w:p>
            <w:pPr>
              <w:spacing w:after="80" w:before="60" w:line="276" w:lineRule="auto"/>
            </w:pPr>
            <w:r>
              <w:rPr>
                <w:sz w:val="18"/>
              </w:rPr>
              <w:t>日本 NuFlare；Lasertec</w:t>
            </w:r>
          </w:p>
        </w:tc>
        <w:tc>
          <w:tcPr>
            <w:tcW w:type="dxa" w:w="3532"/>
            <w:vAlign w:val="top"/>
          </w:tcPr>
          <w:p>
            <w:pPr>
              <w:spacing w:after="80" w:before="60" w:line="276" w:lineRule="auto"/>
            </w:pPr>
            <w:r>
              <w:rPr>
                <w:sz w:val="18"/>
              </w:rPr>
              <w:t>电子束掩模写版；EUV/DUV 掩模检测、blank/光罩膜等检测</w:t>
            </w:r>
          </w:p>
        </w:tc>
        <w:tc>
          <w:tcPr>
            <w:tcW w:type="dxa" w:w="4453"/>
            <w:vAlign w:val="top"/>
          </w:tcPr>
          <w:p>
            <w:pPr>
              <w:spacing w:after="80" w:before="60" w:line="276" w:lineRule="auto"/>
            </w:pPr>
            <w:r>
              <w:rPr>
                <w:sz w:val="18"/>
              </w:rPr>
              <w:t>写掩模、查掩模、在晶圆上曝光是三种环节；NuFlare 与 Multibeam 的直写目标不同。</w:t>
            </w:r>
            <w:hyperlink r:id="rId225">
              <w:r>
                <w:rPr>
                  <w:color w:val="4338CA"/>
                </w:rPr>
                <w:t>[F079]</w:t>
              </w:r>
            </w:hyperlink>
            <w:hyperlink r:id="rId226">
              <w:r>
                <w:rPr>
                  <w:color w:val="4338CA"/>
                </w:rPr>
                <w:t>[F075]</w:t>
              </w:r>
            </w:hyperlink>
          </w:p>
        </w:tc>
      </w:tr>
      <w:tr>
        <w:trPr>
          <w:cantSplit/>
        </w:trPr>
        <w:tc>
          <w:tcPr>
            <w:tcW w:type="dxa" w:w="1908"/>
            <w:vAlign w:val="top"/>
          </w:tcPr>
          <w:p>
            <w:pPr>
              <w:spacing w:after="80" w:before="60" w:line="276" w:lineRule="auto"/>
            </w:pPr>
            <w:r>
              <w:rPr>
                <w:sz w:val="18"/>
              </w:rPr>
              <w:t>日本 SCREEN；DISCO</w:t>
            </w:r>
          </w:p>
        </w:tc>
        <w:tc>
          <w:tcPr>
            <w:tcW w:type="dxa" w:w="3532"/>
            <w:vAlign w:val="top"/>
          </w:tcPr>
          <w:p>
            <w:pPr>
              <w:spacing w:after="80" w:before="60" w:line="276" w:lineRule="auto"/>
            </w:pPr>
            <w:r>
              <w:rPr>
                <w:sz w:val="18"/>
              </w:rPr>
              <w:t>清洗/涂胶显影/退火/直接图形化；切割/减薄/抛光</w:t>
            </w:r>
          </w:p>
        </w:tc>
        <w:tc>
          <w:tcPr>
            <w:tcW w:type="dxa" w:w="4453"/>
            <w:vAlign w:val="top"/>
          </w:tcPr>
          <w:p>
            <w:pPr>
              <w:spacing w:after="80" w:before="60" w:line="276" w:lineRule="auto"/>
            </w:pPr>
            <w:r>
              <w:rPr>
                <w:sz w:val="18"/>
              </w:rPr>
              <w:t>将膜层工艺设备、晶圆减薄、裸片分离与耗材业务分开。</w:t>
            </w:r>
            <w:hyperlink r:id="rId227">
              <w:r>
                <w:rPr>
                  <w:color w:val="4338CA"/>
                </w:rPr>
                <w:t>[F077]</w:t>
              </w:r>
            </w:hyperlink>
            <w:hyperlink r:id="rId228">
              <w:r>
                <w:rPr>
                  <w:color w:val="4338CA"/>
                </w:rPr>
                <w:t>[F076]</w:t>
              </w:r>
            </w:hyperlink>
          </w:p>
        </w:tc>
      </w:tr>
      <w:tr>
        <w:trPr>
          <w:cantSplit/>
        </w:trPr>
        <w:tc>
          <w:tcPr>
            <w:tcW w:type="dxa" w:w="1908"/>
            <w:vAlign w:val="top"/>
          </w:tcPr>
          <w:p>
            <w:pPr>
              <w:spacing w:after="80" w:before="60" w:line="276" w:lineRule="auto"/>
            </w:pPr>
            <w:r>
              <w:rPr>
                <w:sz w:val="18"/>
              </w:rPr>
              <w:t>德国 ZEISS；TRUMPF</w:t>
            </w:r>
          </w:p>
        </w:tc>
        <w:tc>
          <w:tcPr>
            <w:tcW w:type="dxa" w:w="3532"/>
            <w:vAlign w:val="top"/>
          </w:tcPr>
          <w:p>
            <w:pPr>
              <w:spacing w:after="80" w:before="60" w:line="276" w:lineRule="auto"/>
            </w:pPr>
            <w:r>
              <w:rPr>
                <w:sz w:val="18"/>
              </w:rPr>
              <w:t>半导体光学；EUV 光源驱动激光</w:t>
            </w:r>
          </w:p>
        </w:tc>
        <w:tc>
          <w:tcPr>
            <w:tcW w:type="dxa" w:w="4453"/>
            <w:vAlign w:val="top"/>
          </w:tcPr>
          <w:p>
            <w:pPr>
              <w:spacing w:after="80" w:before="60" w:line="276" w:lineRule="auto"/>
            </w:pPr>
            <w:r>
              <w:rPr>
                <w:sz w:val="18"/>
              </w:rPr>
              <w:t>是图形化系统的上游能力，与整机集成商的收入和交付口径不同。</w:t>
            </w:r>
            <w:hyperlink r:id="rId229">
              <w:r>
                <w:rPr>
                  <w:color w:val="4338CA"/>
                </w:rPr>
                <w:t>[F078]</w:t>
              </w:r>
            </w:hyperlink>
            <w:hyperlink r:id="rId230">
              <w:r>
                <w:rPr>
                  <w:color w:val="4338CA"/>
                </w:rPr>
                <w:t>[F083]</w:t>
              </w:r>
            </w:hyperlink>
          </w:p>
        </w:tc>
      </w:tr>
      <w:tr>
        <w:trPr>
          <w:cantSplit/>
        </w:trPr>
        <w:tc>
          <w:tcPr>
            <w:tcW w:type="dxa" w:w="1908"/>
            <w:vAlign w:val="top"/>
          </w:tcPr>
          <w:p>
            <w:pPr>
              <w:spacing w:after="80" w:before="60" w:line="276" w:lineRule="auto"/>
            </w:pPr>
            <w:r>
              <w:rPr>
                <w:sz w:val="18"/>
              </w:rPr>
              <w:t>日本荏原 Ebara</w:t>
            </w:r>
          </w:p>
        </w:tc>
        <w:tc>
          <w:tcPr>
            <w:tcW w:type="dxa" w:w="3532"/>
            <w:vAlign w:val="top"/>
          </w:tcPr>
          <w:p>
            <w:pPr>
              <w:spacing w:after="80" w:before="60" w:line="276" w:lineRule="auto"/>
            </w:pPr>
            <w:r>
              <w:rPr>
                <w:sz w:val="18"/>
              </w:rPr>
              <w:t>CMP、干式真空泵、尾气处理</w:t>
            </w:r>
          </w:p>
        </w:tc>
        <w:tc>
          <w:tcPr>
            <w:tcW w:type="dxa" w:w="4453"/>
            <w:vAlign w:val="top"/>
          </w:tcPr>
          <w:p>
            <w:pPr>
              <w:spacing w:after="80" w:before="60" w:line="276" w:lineRule="auto"/>
            </w:pPr>
            <w:r>
              <w:rPr>
                <w:sz w:val="18"/>
              </w:rPr>
              <w:t>同时位于工艺设备和 sub-fab 层，收入统计不可全部算成 CMP。</w:t>
            </w:r>
            <w:hyperlink r:id="rId211">
              <w:r>
                <w:rPr>
                  <w:color w:val="4338CA"/>
                </w:rPr>
                <w:t>[F013]</w:t>
              </w:r>
            </w:hyperlink>
          </w:p>
        </w:tc>
      </w:tr>
      <w:tr>
        <w:trPr>
          <w:cantSplit/>
        </w:trPr>
        <w:tc>
          <w:tcPr>
            <w:tcW w:type="dxa" w:w="1908"/>
            <w:vAlign w:val="top"/>
          </w:tcPr>
          <w:p>
            <w:pPr>
              <w:spacing w:after="80" w:before="60" w:line="276" w:lineRule="auto"/>
            </w:pPr>
            <w:r>
              <w:rPr>
                <w:sz w:val="18"/>
              </w:rPr>
              <w:t>日本芝浦机电 Shibaura Mechatronics</w:t>
            </w:r>
          </w:p>
        </w:tc>
        <w:tc>
          <w:tcPr>
            <w:tcW w:type="dxa" w:w="3532"/>
            <w:vAlign w:val="top"/>
          </w:tcPr>
          <w:p>
            <w:pPr>
              <w:spacing w:after="80" w:before="60" w:line="276" w:lineRule="auto"/>
            </w:pPr>
            <w:r>
              <w:rPr>
                <w:sz w:val="18"/>
              </w:rPr>
              <w:t>清洗/刻蚀/去胶、2.5D/3D 键合及混合键合</w:t>
            </w:r>
          </w:p>
        </w:tc>
        <w:tc>
          <w:tcPr>
            <w:tcW w:type="dxa" w:w="4453"/>
            <w:vAlign w:val="top"/>
          </w:tcPr>
          <w:p>
            <w:pPr>
              <w:spacing w:after="80" w:before="60" w:line="276" w:lineRule="auto"/>
            </w:pPr>
            <w:r>
              <w:rPr>
                <w:sz w:val="18"/>
              </w:rPr>
              <w:t>此处是半导体设备公司；TFC-6700/6800 为 C2W hybrid/fusion 产品，不宜笼统归为“芯片测试”。</w:t>
            </w:r>
            <w:hyperlink r:id="rId231">
              <w:r>
                <w:rPr>
                  <w:color w:val="4338CA"/>
                </w:rPr>
                <w:t>[F031]</w:t>
              </w:r>
            </w:hyperlink>
          </w:p>
        </w:tc>
      </w:tr>
      <w:tr>
        <w:trPr>
          <w:cantSplit/>
        </w:trPr>
        <w:tc>
          <w:tcPr>
            <w:tcW w:type="dxa" w:w="1908"/>
            <w:vAlign w:val="top"/>
          </w:tcPr>
          <w:p>
            <w:pPr>
              <w:spacing w:after="80" w:before="60" w:line="276" w:lineRule="auto"/>
            </w:pPr>
            <w:r>
              <w:rPr>
                <w:sz w:val="18"/>
              </w:rPr>
              <w:t>中国大陆北方华创</w:t>
            </w:r>
          </w:p>
        </w:tc>
        <w:tc>
          <w:tcPr>
            <w:tcW w:type="dxa" w:w="3532"/>
            <w:vAlign w:val="top"/>
          </w:tcPr>
          <w:p>
            <w:pPr>
              <w:spacing w:after="80" w:before="60" w:line="276" w:lineRule="auto"/>
            </w:pPr>
            <w:r>
              <w:rPr>
                <w:sz w:val="18"/>
              </w:rPr>
              <w:t>等离子刻蚀、PVD、CVD、湿法、炉管、注入、RTP、EPI、键合等公开系列</w:t>
            </w:r>
          </w:p>
        </w:tc>
        <w:tc>
          <w:tcPr>
            <w:tcW w:type="dxa" w:w="4453"/>
            <w:vAlign w:val="top"/>
          </w:tcPr>
          <w:p>
            <w:pPr>
              <w:spacing w:after="80" w:before="60" w:line="276" w:lineRule="auto"/>
            </w:pPr>
            <w:r>
              <w:rPr>
                <w:sz w:val="18"/>
              </w:rPr>
              <w:t>产品目录证明覆盖，不能单凭目录推导所有先进工艺都已完成替代。</w:t>
            </w:r>
            <w:hyperlink r:id="rId207">
              <w:r>
                <w:rPr>
                  <w:color w:val="4338CA"/>
                </w:rPr>
                <w:t>[F009]</w:t>
              </w:r>
            </w:hyperlink>
          </w:p>
        </w:tc>
      </w:tr>
      <w:tr>
        <w:trPr>
          <w:cantSplit/>
        </w:trPr>
        <w:tc>
          <w:tcPr>
            <w:tcW w:type="dxa" w:w="1908"/>
            <w:vAlign w:val="top"/>
          </w:tcPr>
          <w:p>
            <w:pPr>
              <w:spacing w:after="80" w:before="60" w:line="276" w:lineRule="auto"/>
            </w:pPr>
            <w:r>
              <w:rPr>
                <w:sz w:val="18"/>
              </w:rPr>
              <w:t>中国大陆中微 AMEC</w:t>
            </w:r>
          </w:p>
        </w:tc>
        <w:tc>
          <w:tcPr>
            <w:tcW w:type="dxa" w:w="3532"/>
            <w:vAlign w:val="top"/>
          </w:tcPr>
          <w:p>
            <w:pPr>
              <w:spacing w:after="80" w:before="60" w:line="276" w:lineRule="auto"/>
            </w:pPr>
            <w:r>
              <w:rPr>
                <w:sz w:val="18"/>
              </w:rPr>
              <w:t>CCP/ICP、TSV 刻蚀，MOCVD；扩展薄膜设备</w:t>
            </w:r>
          </w:p>
        </w:tc>
        <w:tc>
          <w:tcPr>
            <w:tcW w:type="dxa" w:w="4453"/>
            <w:vAlign w:val="top"/>
          </w:tcPr>
          <w:p>
            <w:pPr>
              <w:spacing w:after="80" w:before="60" w:line="276" w:lineRule="auto"/>
            </w:pPr>
            <w:r>
              <w:rPr>
                <w:sz w:val="18"/>
              </w:rPr>
              <w:t>2025 年官方事实表将既有刻蚀应用和新薄膜方向分别表述；研发、客户验证与批量订单应分开。</w:t>
            </w:r>
            <w:hyperlink r:id="rId210">
              <w:r>
                <w:rPr>
                  <w:color w:val="4338CA"/>
                </w:rPr>
                <w:t>[F010]</w:t>
              </w:r>
            </w:hyperlink>
          </w:p>
        </w:tc>
      </w:tr>
      <w:tr>
        <w:trPr>
          <w:cantSplit/>
        </w:trPr>
        <w:tc>
          <w:tcPr>
            <w:tcW w:type="dxa" w:w="1908"/>
            <w:vAlign w:val="top"/>
          </w:tcPr>
          <w:p>
            <w:pPr>
              <w:spacing w:after="80" w:before="60" w:line="276" w:lineRule="auto"/>
            </w:pPr>
            <w:r>
              <w:rPr>
                <w:sz w:val="18"/>
              </w:rPr>
              <w:t>中国大陆拓荆 Piotech</w:t>
            </w:r>
          </w:p>
        </w:tc>
        <w:tc>
          <w:tcPr>
            <w:tcW w:type="dxa" w:w="3532"/>
            <w:vAlign w:val="top"/>
          </w:tcPr>
          <w:p>
            <w:pPr>
              <w:spacing w:after="80" w:before="60" w:line="276" w:lineRule="auto"/>
            </w:pPr>
            <w:r>
              <w:rPr>
                <w:sz w:val="18"/>
              </w:rPr>
              <w:t>PECVD、ALD、gap-fill、3D IC</w:t>
            </w:r>
          </w:p>
        </w:tc>
        <w:tc>
          <w:tcPr>
            <w:tcW w:type="dxa" w:w="4453"/>
            <w:vAlign w:val="top"/>
          </w:tcPr>
          <w:p>
            <w:pPr>
              <w:spacing w:after="80" w:before="60" w:line="276" w:lineRule="auto"/>
            </w:pPr>
            <w:r>
              <w:rPr>
                <w:sz w:val="18"/>
              </w:rPr>
              <w:t>官网确认产品家族；具体工艺验收和量产占比需逐设备核实。</w:t>
            </w:r>
            <w:hyperlink r:id="rId206">
              <w:r>
                <w:rPr>
                  <w:color w:val="4338CA"/>
                </w:rPr>
                <w:t>[F011]</w:t>
              </w:r>
            </w:hyperlink>
          </w:p>
        </w:tc>
      </w:tr>
      <w:tr>
        <w:trPr>
          <w:cantSplit/>
        </w:trPr>
        <w:tc>
          <w:tcPr>
            <w:tcW w:type="dxa" w:w="1908"/>
            <w:vAlign w:val="top"/>
          </w:tcPr>
          <w:p>
            <w:pPr>
              <w:spacing w:after="80" w:before="60" w:line="276" w:lineRule="auto"/>
            </w:pPr>
            <w:r>
              <w:rPr>
                <w:sz w:val="18"/>
              </w:rPr>
              <w:t>中国大陆华海清科；中科飞测</w:t>
            </w:r>
          </w:p>
        </w:tc>
        <w:tc>
          <w:tcPr>
            <w:tcW w:type="dxa" w:w="3532"/>
            <w:vAlign w:val="top"/>
          </w:tcPr>
          <w:p>
            <w:pPr>
              <w:spacing w:after="80" w:before="60" w:line="276" w:lineRule="auto"/>
            </w:pPr>
            <w:r>
              <w:rPr>
                <w:sz w:val="18"/>
              </w:rPr>
              <w:t>CMP/减薄等装备；晶圆缺陷检测、CD/膜厚/套刻/三维形貌量测</w:t>
            </w:r>
          </w:p>
        </w:tc>
        <w:tc>
          <w:tcPr>
            <w:tcW w:type="dxa" w:w="4453"/>
            <w:vAlign w:val="top"/>
          </w:tcPr>
          <w:p>
            <w:pPr>
              <w:spacing w:after="80" w:before="60" w:line="276" w:lineRule="auto"/>
            </w:pPr>
            <w:r>
              <w:rPr>
                <w:sz w:val="18"/>
              </w:rPr>
              <w:t>华海清科2026半年报确认装备方向；中科飞测目录确认覆盖，不用“有产品”替代先进工艺验证。</w:t>
            </w:r>
            <w:hyperlink r:id="rId232">
              <w:r>
                <w:rPr>
                  <w:color w:val="4338CA"/>
                </w:rPr>
                <w:t>[F084]</w:t>
              </w:r>
            </w:hyperlink>
            <w:hyperlink r:id="rId233">
              <w:r>
                <w:rPr>
                  <w:color w:val="4338CA"/>
                </w:rPr>
                <w:t>[F085]</w:t>
              </w:r>
            </w:hyperlink>
          </w:p>
        </w:tc>
      </w:tr>
      <w:tr>
        <w:trPr>
          <w:cantSplit/>
        </w:trPr>
        <w:tc>
          <w:tcPr>
            <w:tcW w:type="dxa" w:w="1908"/>
            <w:vAlign w:val="top"/>
          </w:tcPr>
          <w:p>
            <w:pPr>
              <w:spacing w:after="80" w:before="60" w:line="276" w:lineRule="auto"/>
            </w:pPr>
            <w:r>
              <w:rPr>
                <w:sz w:val="18"/>
              </w:rPr>
              <w:t>中国大陆长川科技</w:t>
            </w:r>
          </w:p>
        </w:tc>
        <w:tc>
          <w:tcPr>
            <w:tcW w:type="dxa" w:w="3532"/>
            <w:vAlign w:val="top"/>
          </w:tcPr>
          <w:p>
            <w:pPr>
              <w:spacing w:after="80" w:before="60" w:line="276" w:lineRule="auto"/>
            </w:pPr>
            <w:r>
              <w:rPr>
                <w:sz w:val="18"/>
              </w:rPr>
              <w:t>测试机、分选机、探针台、AOI</w:t>
            </w:r>
          </w:p>
        </w:tc>
        <w:tc>
          <w:tcPr>
            <w:tcW w:type="dxa" w:w="4453"/>
            <w:vAlign w:val="top"/>
          </w:tcPr>
          <w:p>
            <w:pPr>
              <w:spacing w:after="80" w:before="60" w:line="276" w:lineRule="auto"/>
            </w:pPr>
            <w:r>
              <w:rPr>
                <w:sz w:val="18"/>
              </w:rPr>
              <w:t>平台目录覆盖多种应用，不能直接推出已替代最高端 AI SoC 测试平台。</w:t>
            </w:r>
            <w:hyperlink r:id="rId234">
              <w:r>
                <w:rPr>
                  <w:color w:val="4338CA"/>
                </w:rPr>
                <w:t>[F086]</w:t>
              </w:r>
            </w:hyperlink>
          </w:p>
        </w:tc>
      </w:tr>
      <w:tr>
        <w:trPr>
          <w:cantSplit/>
        </w:trPr>
        <w:tc>
          <w:tcPr>
            <w:tcW w:type="dxa" w:w="1908"/>
            <w:vAlign w:val="top"/>
          </w:tcPr>
          <w:p>
            <w:pPr>
              <w:spacing w:after="80" w:before="60" w:line="276" w:lineRule="auto"/>
            </w:pPr>
            <w:r>
              <w:rPr>
                <w:sz w:val="18"/>
              </w:rPr>
              <w:t>中国大陆盛美上海 ACM</w:t>
            </w:r>
          </w:p>
        </w:tc>
        <w:tc>
          <w:tcPr>
            <w:tcW w:type="dxa" w:w="3532"/>
            <w:vAlign w:val="top"/>
          </w:tcPr>
          <w:p>
            <w:pPr>
              <w:spacing w:after="80" w:before="60" w:line="276" w:lineRule="auto"/>
            </w:pPr>
            <w:r>
              <w:rPr>
                <w:sz w:val="18"/>
              </w:rPr>
              <w:t>单片、post-CMP 等清洗设备</w:t>
            </w:r>
          </w:p>
        </w:tc>
        <w:tc>
          <w:tcPr>
            <w:tcW w:type="dxa" w:w="4453"/>
            <w:vAlign w:val="top"/>
          </w:tcPr>
          <w:p>
            <w:pPr>
              <w:spacing w:after="80" w:before="60" w:line="276" w:lineRule="auto"/>
            </w:pPr>
            <w:r>
              <w:rPr>
                <w:sz w:val="18"/>
              </w:rPr>
              <w:t>本次来源直接支持硅片/SiC 衬底清洗；其他新产品不能由该页自动外推。</w:t>
            </w:r>
            <w:hyperlink r:id="rId213">
              <w:r>
                <w:rPr>
                  <w:color w:val="4338CA"/>
                </w:rPr>
                <w:t>[F012]</w:t>
              </w:r>
            </w:hyperlink>
          </w:p>
        </w:tc>
      </w:tr>
      <w:tr>
        <w:trPr>
          <w:cantSplit/>
        </w:trPr>
        <w:tc>
          <w:tcPr>
            <w:tcW w:type="dxa" w:w="1908"/>
            <w:vAlign w:val="top"/>
          </w:tcPr>
          <w:p>
            <w:pPr>
              <w:spacing w:after="80" w:before="60" w:line="276" w:lineRule="auto"/>
            </w:pPr>
            <w:r>
              <w:rPr>
                <w:sz w:val="18"/>
              </w:rPr>
              <w:t>中国台湾致茂 Chroma</w:t>
            </w:r>
          </w:p>
        </w:tc>
        <w:tc>
          <w:tcPr>
            <w:tcW w:type="dxa" w:w="3532"/>
            <w:vAlign w:val="top"/>
          </w:tcPr>
          <w:p>
            <w:pPr>
              <w:spacing w:after="80" w:before="60" w:line="276" w:lineRule="auto"/>
            </w:pPr>
            <w:r>
              <w:rPr>
                <w:sz w:val="18"/>
              </w:rPr>
              <w:t>SLT、FT、burn-in、热控、接触与自动上下料</w:t>
            </w:r>
          </w:p>
        </w:tc>
        <w:tc>
          <w:tcPr>
            <w:tcW w:type="dxa" w:w="4453"/>
            <w:vAlign w:val="top"/>
          </w:tcPr>
          <w:p>
            <w:pPr>
              <w:spacing w:after="80" w:before="60" w:line="276" w:lineRule="auto"/>
            </w:pPr>
            <w:r>
              <w:rPr>
                <w:sz w:val="18"/>
              </w:rPr>
              <w:t>位于测试及验证层；不是所有测试都由致茂一家公司包办。</w:t>
            </w:r>
            <w:hyperlink r:id="rId235">
              <w:r>
                <w:rPr>
                  <w:color w:val="4338CA"/>
                </w:rPr>
                <w:t>[F035]</w:t>
              </w:r>
            </w:hyperlink>
          </w:p>
        </w:tc>
      </w:tr>
      <w:tr>
        <w:trPr>
          <w:cantSplit/>
        </w:trPr>
        <w:tc>
          <w:tcPr>
            <w:tcW w:type="dxa" w:w="1908"/>
            <w:vAlign w:val="top"/>
          </w:tcPr>
          <w:p>
            <w:pPr>
              <w:spacing w:after="80" w:before="60" w:line="276" w:lineRule="auto"/>
            </w:pPr>
            <w:r>
              <w:rPr>
                <w:sz w:val="18"/>
              </w:rPr>
              <w:t>韩国 HANMI</w:t>
            </w:r>
          </w:p>
        </w:tc>
        <w:tc>
          <w:tcPr>
            <w:tcW w:type="dxa" w:w="3532"/>
            <w:vAlign w:val="top"/>
          </w:tcPr>
          <w:p>
            <w:pPr>
              <w:spacing w:after="80" w:before="60" w:line="276" w:lineRule="auto"/>
            </w:pPr>
            <w:r>
              <w:rPr>
                <w:sz w:val="18"/>
              </w:rPr>
              <w:t>HBM TC bonder 等后道设备</w:t>
            </w:r>
          </w:p>
        </w:tc>
        <w:tc>
          <w:tcPr>
            <w:tcW w:type="dxa" w:w="4453"/>
            <w:vAlign w:val="top"/>
          </w:tcPr>
          <w:p>
            <w:pPr>
              <w:spacing w:after="80" w:before="60" w:line="276" w:lineRule="auto"/>
            </w:pPr>
            <w:r>
              <w:rPr>
                <w:sz w:val="18"/>
              </w:rPr>
              <w:t>本次读取 SEMI 展商目录中的厂商自述；份额宣称未独立审计，不据此给出排名。</w:t>
            </w:r>
            <w:hyperlink r:id="rId236">
              <w:r>
                <w:rPr>
                  <w:color w:val="4338CA"/>
                </w:rPr>
                <w:t>[F051]</w:t>
              </w:r>
            </w:hyperlink>
          </w:p>
        </w:tc>
      </w:tr>
    </w:tbl>
    <w:p>
      <w:pPr>
        <w:spacing w:after="0"/>
      </w:pPr>
    </w:p>
    <w:p>
      <w:pPr>
        <w:pStyle w:val="Heading2"/>
      </w:pPr>
      <w:r>
        <w:t>四个容易被投资叙事省略的成本</w:t>
      </w:r>
    </w:p>
    <w:p>
      <w:pPr/>
      <w:r>
        <w:rPr>
          <w:b/>
        </w:rPr>
        <w:t>工艺窗口。</w:t>
      </w:r>
      <w:r>
        <w:t xml:space="preserve"> 最佳样品证明“能做”；整片、跨片、跨腔与连续批次的稳定性才更接近“能制造”。GAA 的多材料选择性和 NAND 深孔控制会使单指标比较失真。这是从设备技术文档得到的研究推论，需用客户验收数据验证。</w:t>
      </w:r>
      <w:hyperlink r:id="rId53">
        <w:r>
          <w:rPr>
            <w:color w:val="4338CA"/>
          </w:rPr>
          <w:t>[F005]</w:t>
        </w:r>
      </w:hyperlink>
      <w:hyperlink r:id="rId50">
        <w:r>
          <w:rPr>
            <w:color w:val="4338CA"/>
          </w:rPr>
          <w:t>[F007]</w:t>
        </w:r>
      </w:hyperlink>
    </w:p>
    <w:p>
      <w:pPr/>
      <w:r>
        <w:rPr>
          <w:b/>
        </w:rPr>
        <w:t>单位良品成本。</w:t>
      </w:r>
      <w:r>
        <w:t xml:space="preserve"> 建议比较：设备折旧、耗材、维护、停机、返工、占地和公用工程成本，除以最终良品量。ALD 膜质量提高若以循环时间增加为代价，是否划算取决于良率增量和产能约束。论坛关于 ALD 速度、批量能力和膜质量取舍的讨论可作为现场追问线索，匿名身份及具体数值不作行业事实。</w:t>
      </w:r>
      <w:hyperlink r:id="rId237">
        <w:r>
          <w:rPr>
            <w:color w:val="4338CA"/>
          </w:rPr>
          <w:t>[F057]</w:t>
        </w:r>
      </w:hyperlink>
      <w:hyperlink r:id="rId53">
        <w:r>
          <w:rPr>
            <w:color w:val="4338CA"/>
          </w:rPr>
          <w:t>[F005]</w:t>
        </w:r>
      </w:hyperlink>
    </w:p>
    <w:p>
      <w:pPr/>
      <w:r>
        <w:rPr>
          <w:b/>
        </w:rPr>
        <w:t>认证与服务。</w:t>
      </w:r>
      <w:r>
        <w:t xml:space="preserve"> 工厂购买的是持续合格产出，采购价只是一部分。Edwards 明确把维护、翻新和集成服务列入供给；ficonTEC 的应用软件把定位、校准、测试和固化动作连接起来。推论：长期壁垒可能来自 recipe、数据和现场支持的组合，不能只看机械零件是否可买到。</w:t>
      </w:r>
      <w:hyperlink r:id="rId219">
        <w:r>
          <w:rPr>
            <w:color w:val="4338CA"/>
          </w:rPr>
          <w:t>[F014]</w:t>
        </w:r>
      </w:hyperlink>
      <w:hyperlink r:id="rId238">
        <w:r>
          <w:rPr>
            <w:color w:val="4338CA"/>
          </w:rPr>
          <w:t>[F036]</w:t>
        </w:r>
      </w:hyperlink>
    </w:p>
    <w:p>
      <w:pPr/>
      <w:r>
        <w:rPr>
          <w:b/>
        </w:rPr>
        <w:t>路径依赖与可替代性。</w:t>
      </w:r>
      <w:r>
        <w:t xml:space="preserve"> 一台新设备需要与材料、前后工序和厂内数据接口配合。EVG 的 die-to-wafer 白皮书明确把清洗、carrier handling、临时/永久胶等纳入开发项目。推论：更换供应商的成本应以整条流程重新验证计算，但历史认证也不等于永久垄断。</w:t>
      </w:r>
      <w:hyperlink r:id="rId239">
        <w:r>
          <w:rPr>
            <w:color w:val="4338CA"/>
          </w:rPr>
          <w:t>[F058]</w:t>
        </w:r>
      </w:hyperlink>
    </w:p>
    <w:p>
      <w:pPr>
        <w:pStyle w:val="Heading2"/>
      </w:pPr>
      <w:r>
        <w:t>制造壁垒的最短尽调清单</w:t>
      </w:r>
    </w:p>
    <w:p>
      <w:pPr/>
      <w:r>
        <w:t>现场应逐项索要：①设备做的是哪一层及哪一材料组合；②结果是实验、客户验证还是量产验收；③精度属于分辨率、重复性还是绝对精度；④吞吐是 dry UPH 还是含校准/搬运/测试的有效 UPH；⑤缺陷、耗材寿命和维护间隔；⑥客户换线与新代际复用成本；⑦订单能否交付、验收、回款。这里是本报告的验证框架；例如芝浦的公开规格明确附有室温/local alignment/3σ 等条件，说明脱离测试条件抄精度会误导。</w:t>
      </w:r>
      <w:hyperlink r:id="rId240">
        <w:r>
          <w:rPr>
            <w:color w:val="4338CA"/>
          </w:rPr>
          <w:t>[F059]</w:t>
        </w:r>
      </w:hyperlink>
    </w:p>
    <w:p>
      <w:pPr>
        <w:pStyle w:val="Heading1"/>
        <w:pageBreakBefore/>
      </w:pPr>
      <w:r>
        <w:t>06  材料地图 同样叫“绝缘” 实际承担不同任务</w:t>
      </w:r>
    </w:p>
    <w:p>
      <w:pPr>
        <w:pStyle w:val="Heading2"/>
      </w:pPr>
      <w:r>
        <w:t>把材料分成五本账</w:t>
      </w:r>
    </w:p>
    <w:p>
      <w:pPr/>
      <w:r>
        <w:t>①衬底提供晶体和机械基础；②工艺材料被消耗或形成薄膜；③设备耗材维持洁净、温度与等离子体环境；④封装材料连接、保护和散热；⑤光电/功率功能材料承担发光、导光或高压开关。不能把电子级多晶硅、完成抛光的单晶晶圆、SiC 散热衬底和封装 ABF 膜都称为“芯片原材料”后直接相加市场规模。下表按所在结构及失效模式归类。</w:t>
      </w:r>
      <w:hyperlink r:id="rId205">
        <w:r>
          <w:rPr>
            <w:color w:val="4338CA"/>
          </w:rPr>
          <w:t>[F019]</w:t>
        </w:r>
      </w:hyperlink>
      <w:hyperlink r:id="rId241">
        <w:r>
          <w:rPr>
            <w:color w:val="4338CA"/>
          </w:rPr>
          <w:t>[F024]</w:t>
        </w:r>
      </w:hyperlink>
      <w:hyperlink r:id="rId242">
        <w:r>
          <w:rPr>
            <w:color w:val="4338CA"/>
          </w:rPr>
          <w:t>[F053]</w:t>
        </w:r>
      </w:hyperlink>
      <w:hyperlink r:id="rId243">
        <w:r>
          <w:rPr>
            <w:color w:val="4338CA"/>
          </w:rPr>
          <w:t>[F068]</w:t>
        </w:r>
      </w:hyperlink>
    </w:p>
    <w:tbl>
      <w:tblPr>
        <w:tblW w:type="auto" w:w="0"/>
        <w:jc w:val="center"/>
        <w:tblLayout w:type="fixed"/>
        <w:tblLook w:firstColumn="1" w:firstRow="1" w:lastColumn="0" w:lastRow="0" w:noHBand="0" w:noVBand="1" w:val="04A0"/>
      </w:tblPr>
      <w:tblGrid>
        <w:gridCol w:w="2153"/>
        <w:gridCol w:w="2717"/>
        <w:gridCol w:w="5023"/>
      </w:tblGrid>
      <w:tr>
        <w:trPr>
          <w:tblHeader/>
        </w:trPr>
        <w:tc>
          <w:tcPr>
            <w:tcW w:type="dxa" w:w="2153"/>
            <w:vAlign w:val="top"/>
            <w:shd w:fill="E0E7FF"/>
          </w:tcPr>
          <w:p>
            <w:pPr>
              <w:spacing w:after="80" w:before="60" w:line="276" w:lineRule="auto"/>
            </w:pPr>
            <w:r>
              <w:rPr>
                <w:b/>
                <w:sz w:val="18"/>
              </w:rPr>
              <w:t>材料/所在层</w:t>
            </w:r>
          </w:p>
        </w:tc>
        <w:tc>
          <w:tcPr>
            <w:tcW w:type="dxa" w:w="2717"/>
            <w:vAlign w:val="top"/>
            <w:shd w:fill="E0E7FF"/>
          </w:tcPr>
          <w:p>
            <w:pPr>
              <w:spacing w:after="80" w:before="60" w:line="276" w:lineRule="auto"/>
            </w:pPr>
            <w:r>
              <w:rPr>
                <w:b/>
                <w:sz w:val="18"/>
              </w:rPr>
              <w:t>功能和工艺耦合</w:t>
            </w:r>
          </w:p>
        </w:tc>
        <w:tc>
          <w:tcPr>
            <w:tcW w:type="dxa" w:w="5023"/>
            <w:vAlign w:val="top"/>
            <w:shd w:fill="E0E7FF"/>
          </w:tcPr>
          <w:p>
            <w:pPr>
              <w:spacing w:after="80" w:before="60" w:line="276" w:lineRule="auto"/>
            </w:pPr>
            <w:r>
              <w:rPr>
                <w:b/>
                <w:sz w:val="18"/>
              </w:rPr>
              <w:t>主要验收问题、成熟度边界</w:t>
            </w:r>
          </w:p>
        </w:tc>
      </w:tr>
      <w:tr>
        <w:trPr>
          <w:cantSplit/>
        </w:trPr>
        <w:tc>
          <w:tcPr>
            <w:tcW w:type="dxa" w:w="2153"/>
            <w:vAlign w:val="top"/>
          </w:tcPr>
          <w:p>
            <w:pPr>
              <w:spacing w:after="80" w:before="60" w:line="276" w:lineRule="auto"/>
            </w:pPr>
            <w:r>
              <w:rPr>
                <w:sz w:val="18"/>
              </w:rPr>
              <w:t>电子级多晶硅→单晶锭→切片/抛光/清洗</w:t>
            </w:r>
          </w:p>
        </w:tc>
        <w:tc>
          <w:tcPr>
            <w:tcW w:type="dxa" w:w="2717"/>
            <w:vAlign w:val="top"/>
          </w:tcPr>
          <w:p>
            <w:pPr>
              <w:spacing w:after="80" w:before="60" w:line="276" w:lineRule="auto"/>
            </w:pPr>
            <w:r>
              <w:rPr>
                <w:sz w:val="18"/>
              </w:rPr>
              <w:t>多晶硅是晶圆上游；晶圆再进入器件制造</w:t>
            </w:r>
          </w:p>
        </w:tc>
        <w:tc>
          <w:tcPr>
            <w:tcW w:type="dxa" w:w="5023"/>
            <w:vAlign w:val="top"/>
          </w:tcPr>
          <w:p>
            <w:pPr>
              <w:spacing w:after="80" w:before="60" w:line="276" w:lineRule="auto"/>
            </w:pPr>
            <w:r>
              <w:rPr>
                <w:sz w:val="18"/>
              </w:rPr>
              <w:t>纯度、晶体缺陷、平坦度、氧/碳、批间稳定；光伏级产能不能直接当电子级合格产能。</w:t>
            </w:r>
            <w:hyperlink r:id="rId244">
              <w:r>
                <w:rPr>
                  <w:color w:val="4338CA"/>
                </w:rPr>
                <w:t>[F061]</w:t>
              </w:r>
            </w:hyperlink>
            <w:hyperlink r:id="rId245">
              <w:r>
                <w:rPr>
                  <w:color w:val="4338CA"/>
                </w:rPr>
                <w:t>[F066]</w:t>
              </w:r>
            </w:hyperlink>
          </w:p>
        </w:tc>
      </w:tr>
      <w:tr>
        <w:trPr>
          <w:cantSplit/>
        </w:trPr>
        <w:tc>
          <w:tcPr>
            <w:tcW w:type="dxa" w:w="2153"/>
            <w:vAlign w:val="top"/>
          </w:tcPr>
          <w:p>
            <w:pPr>
              <w:spacing w:after="80" w:before="60" w:line="276" w:lineRule="auto"/>
            </w:pPr>
            <w:r>
              <w:rPr>
                <w:sz w:val="18"/>
              </w:rPr>
              <w:t>抛光/外延/退火晶圆</w:t>
            </w:r>
          </w:p>
        </w:tc>
        <w:tc>
          <w:tcPr>
            <w:tcW w:type="dxa" w:w="2717"/>
            <w:vAlign w:val="top"/>
          </w:tcPr>
          <w:p>
            <w:pPr>
              <w:spacing w:after="80" w:before="60" w:line="276" w:lineRule="auto"/>
            </w:pPr>
            <w:r>
              <w:rPr>
                <w:sz w:val="18"/>
              </w:rPr>
              <w:t>不同表面与晶体条件服务不同器件</w:t>
            </w:r>
          </w:p>
        </w:tc>
        <w:tc>
          <w:tcPr>
            <w:tcW w:type="dxa" w:w="5023"/>
            <w:vAlign w:val="top"/>
          </w:tcPr>
          <w:p>
            <w:pPr>
              <w:spacing w:after="80" w:before="60" w:line="276" w:lineRule="auto"/>
            </w:pPr>
            <w:r>
              <w:rPr>
                <w:sz w:val="18"/>
              </w:rPr>
              <w:t>外延厚度、掺杂、电阻率及缺陷；外延片不是“尺寸更大的硅片”。</w:t>
            </w:r>
            <w:hyperlink r:id="rId205">
              <w:r>
                <w:rPr>
                  <w:color w:val="4338CA"/>
                </w:rPr>
                <w:t>[F019]</w:t>
              </w:r>
            </w:hyperlink>
            <w:hyperlink r:id="rId245">
              <w:r>
                <w:rPr>
                  <w:color w:val="4338CA"/>
                </w:rPr>
                <w:t>[F066]</w:t>
              </w:r>
            </w:hyperlink>
          </w:p>
        </w:tc>
      </w:tr>
      <w:tr>
        <w:trPr>
          <w:cantSplit/>
        </w:trPr>
        <w:tc>
          <w:tcPr>
            <w:tcW w:type="dxa" w:w="2153"/>
            <w:vAlign w:val="top"/>
          </w:tcPr>
          <w:p>
            <w:pPr>
              <w:spacing w:after="80" w:before="60" w:line="276" w:lineRule="auto"/>
            </w:pPr>
            <w:r>
              <w:rPr>
                <w:sz w:val="18"/>
              </w:rPr>
              <w:t>SOI（硅/埋氧层/硅）</w:t>
            </w:r>
          </w:p>
        </w:tc>
        <w:tc>
          <w:tcPr>
            <w:tcW w:type="dxa" w:w="2717"/>
            <w:vAlign w:val="top"/>
          </w:tcPr>
          <w:p>
            <w:pPr>
              <w:spacing w:after="80" w:before="60" w:line="276" w:lineRule="auto"/>
            </w:pPr>
            <w:r>
              <w:rPr>
                <w:sz w:val="18"/>
              </w:rPr>
              <w:t>埋氧层提供隔离；光子 SOI 用于硅光器件平台</w:t>
            </w:r>
          </w:p>
        </w:tc>
        <w:tc>
          <w:tcPr>
            <w:tcW w:type="dxa" w:w="5023"/>
            <w:vAlign w:val="top"/>
          </w:tcPr>
          <w:p>
            <w:pPr>
              <w:spacing w:after="80" w:before="60" w:line="276" w:lineRule="auto"/>
            </w:pPr>
            <w:r>
              <w:rPr>
                <w:sz w:val="18"/>
              </w:rPr>
              <w:t>活性层、埋氧层厚度及均匀性与光学设计耦合；并非所有先进逻辑都采用 SOI。</w:t>
            </w:r>
            <w:hyperlink r:id="rId246">
              <w:r>
                <w:rPr>
                  <w:color w:val="4338CA"/>
                </w:rPr>
                <w:t>[F050]</w:t>
              </w:r>
            </w:hyperlink>
            <w:hyperlink r:id="rId245">
              <w:r>
                <w:rPr>
                  <w:color w:val="4338CA"/>
                </w:rPr>
                <w:t>[F066]</w:t>
              </w:r>
            </w:hyperlink>
          </w:p>
        </w:tc>
      </w:tr>
      <w:tr>
        <w:trPr>
          <w:cantSplit/>
        </w:trPr>
        <w:tc>
          <w:tcPr>
            <w:tcW w:type="dxa" w:w="2153"/>
            <w:vAlign w:val="top"/>
          </w:tcPr>
          <w:p>
            <w:pPr>
              <w:spacing w:after="80" w:before="60" w:line="276" w:lineRule="auto"/>
            </w:pPr>
            <w:r>
              <w:rPr>
                <w:sz w:val="18"/>
              </w:rPr>
              <w:t>SiO₂、SiN 与不同介质薄膜</w:t>
            </w:r>
          </w:p>
        </w:tc>
        <w:tc>
          <w:tcPr>
            <w:tcW w:type="dxa" w:w="2717"/>
            <w:vAlign w:val="top"/>
          </w:tcPr>
          <w:p>
            <w:pPr>
              <w:spacing w:after="80" w:before="60" w:line="276" w:lineRule="auto"/>
            </w:pPr>
            <w:r>
              <w:rPr>
                <w:sz w:val="18"/>
              </w:rPr>
              <w:t>在器件/存储叠层中承担隔离、掩膜或结构作用</w:t>
            </w:r>
          </w:p>
        </w:tc>
        <w:tc>
          <w:tcPr>
            <w:tcW w:type="dxa" w:w="5023"/>
            <w:vAlign w:val="top"/>
          </w:tcPr>
          <w:p>
            <w:pPr>
              <w:spacing w:after="80" w:before="60" w:line="276" w:lineRule="auto"/>
            </w:pPr>
            <w:r>
              <w:rPr>
                <w:sz w:val="18"/>
              </w:rPr>
              <w:t>成膜、选择性刻蚀、应力需匹配；同一化学名称不代表同一层的电学职责。</w:t>
            </w:r>
            <w:hyperlink r:id="rId50">
              <w:r>
                <w:rPr>
                  <w:color w:val="4338CA"/>
                </w:rPr>
                <w:t>[F007]</w:t>
              </w:r>
            </w:hyperlink>
            <w:hyperlink r:id="rId206">
              <w:r>
                <w:rPr>
                  <w:color w:val="4338CA"/>
                </w:rPr>
                <w:t>[F011]</w:t>
              </w:r>
            </w:hyperlink>
          </w:p>
        </w:tc>
      </w:tr>
      <w:tr>
        <w:trPr>
          <w:cantSplit/>
        </w:trPr>
        <w:tc>
          <w:tcPr>
            <w:tcW w:type="dxa" w:w="2153"/>
            <w:vAlign w:val="top"/>
          </w:tcPr>
          <w:p>
            <w:pPr>
              <w:spacing w:after="80" w:before="60" w:line="276" w:lineRule="auto"/>
            </w:pPr>
            <w:r>
              <w:rPr>
                <w:sz w:val="18"/>
              </w:rPr>
              <w:t>high-k 栅介质、金属栅</w:t>
            </w:r>
          </w:p>
        </w:tc>
        <w:tc>
          <w:tcPr>
            <w:tcW w:type="dxa" w:w="2717"/>
            <w:vAlign w:val="top"/>
          </w:tcPr>
          <w:p>
            <w:pPr>
              <w:spacing w:after="80" w:before="60" w:line="276" w:lineRule="auto"/>
            </w:pPr>
            <w:r>
              <w:rPr>
                <w:sz w:val="18"/>
              </w:rPr>
              <w:t>在极薄栅堆栈维持栅控与漏电平衡</w:t>
            </w:r>
          </w:p>
        </w:tc>
        <w:tc>
          <w:tcPr>
            <w:tcW w:type="dxa" w:w="5023"/>
            <w:vAlign w:val="top"/>
          </w:tcPr>
          <w:p>
            <w:pPr>
              <w:spacing w:after="80" w:before="60" w:line="276" w:lineRule="auto"/>
            </w:pPr>
            <w:r>
              <w:rPr>
                <w:sz w:val="18"/>
              </w:rPr>
              <w:t>界面缺陷、厚度、杂质、阈值和热预算；ALD 是关键实施方法之一。</w:t>
            </w:r>
            <w:hyperlink r:id="rId53">
              <w:r>
                <w:rPr>
                  <w:color w:val="4338CA"/>
                </w:rPr>
                <w:t>[F005]</w:t>
              </w:r>
            </w:hyperlink>
          </w:p>
        </w:tc>
      </w:tr>
      <w:tr>
        <w:trPr>
          <w:cantSplit/>
        </w:trPr>
        <w:tc>
          <w:tcPr>
            <w:tcW w:type="dxa" w:w="2153"/>
            <w:vAlign w:val="top"/>
          </w:tcPr>
          <w:p>
            <w:pPr>
              <w:spacing w:after="80" w:before="60" w:line="276" w:lineRule="auto"/>
            </w:pPr>
            <w:r>
              <w:rPr>
                <w:sz w:val="18"/>
              </w:rPr>
              <w:t>low-k 布线介质</w:t>
            </w:r>
          </w:p>
        </w:tc>
        <w:tc>
          <w:tcPr>
            <w:tcW w:type="dxa" w:w="2717"/>
            <w:vAlign w:val="top"/>
          </w:tcPr>
          <w:p>
            <w:pPr>
              <w:spacing w:after="80" w:before="60" w:line="276" w:lineRule="auto"/>
            </w:pPr>
            <w:r>
              <w:rPr>
                <w:sz w:val="18"/>
              </w:rPr>
              <w:t>降低相邻导线寄生电容</w:t>
            </w:r>
          </w:p>
        </w:tc>
        <w:tc>
          <w:tcPr>
            <w:tcW w:type="dxa" w:w="5023"/>
            <w:vAlign w:val="top"/>
          </w:tcPr>
          <w:p>
            <w:pPr>
              <w:spacing w:after="80" w:before="60" w:line="276" w:lineRule="auto"/>
            </w:pPr>
            <w:r>
              <w:rPr>
                <w:sz w:val="18"/>
              </w:rPr>
              <w:t>介电性能、机械强度和加工损伤间权衡；与 high-k 栅介质用途相反，不能按“k 越高越好”排序。</w:t>
            </w:r>
            <w:hyperlink r:id="rId247">
              <w:r>
                <w:rPr>
                  <w:color w:val="4338CA"/>
                </w:rPr>
                <w:t>[F060]</w:t>
              </w:r>
            </w:hyperlink>
          </w:p>
        </w:tc>
      </w:tr>
      <w:tr>
        <w:trPr>
          <w:cantSplit/>
        </w:trPr>
        <w:tc>
          <w:tcPr>
            <w:tcW w:type="dxa" w:w="2153"/>
            <w:vAlign w:val="top"/>
          </w:tcPr>
          <w:p>
            <w:pPr>
              <w:spacing w:after="80" w:before="60" w:line="276" w:lineRule="auto"/>
            </w:pPr>
            <w:r>
              <w:rPr>
                <w:sz w:val="18"/>
              </w:rPr>
              <w:t>Cu、W、Ru/Co 及 barrier/liner</w:t>
            </w:r>
          </w:p>
        </w:tc>
        <w:tc>
          <w:tcPr>
            <w:tcW w:type="dxa" w:w="2717"/>
            <w:vAlign w:val="top"/>
          </w:tcPr>
          <w:p>
            <w:pPr>
              <w:spacing w:after="80" w:before="60" w:line="276" w:lineRule="auto"/>
            </w:pPr>
            <w:r>
              <w:rPr>
                <w:sz w:val="18"/>
              </w:rPr>
              <w:t>导电、接触、填充或界面保护</w:t>
            </w:r>
          </w:p>
        </w:tc>
        <w:tc>
          <w:tcPr>
            <w:tcW w:type="dxa" w:w="5023"/>
            <w:vAlign w:val="top"/>
          </w:tcPr>
          <w:p>
            <w:pPr>
              <w:spacing w:after="80" w:before="60" w:line="276" w:lineRule="auto"/>
            </w:pPr>
            <w:r>
              <w:rPr>
                <w:sz w:val="18"/>
              </w:rPr>
              <w:t>随线宽缩小，阻挡/衬层占截面比例变大；Applied 的 RuCo liner 方案是具体集成路线，不能扩展成“全行业铜即将淘汰”。</w:t>
            </w:r>
            <w:hyperlink r:id="rId247">
              <w:r>
                <w:rPr>
                  <w:color w:val="4338CA"/>
                </w:rPr>
                <w:t>[F060]</w:t>
              </w:r>
            </w:hyperlink>
          </w:p>
        </w:tc>
      </w:tr>
      <w:tr>
        <w:trPr>
          <w:cantSplit/>
        </w:trPr>
        <w:tc>
          <w:tcPr>
            <w:tcW w:type="dxa" w:w="2153"/>
            <w:vAlign w:val="top"/>
          </w:tcPr>
          <w:p>
            <w:pPr>
              <w:spacing w:after="80" w:before="60" w:line="276" w:lineRule="auto"/>
            </w:pPr>
            <w:r>
              <w:rPr>
                <w:sz w:val="18"/>
              </w:rPr>
              <w:t>PVD 靶材：Cu/Ti/Ta 等</w:t>
            </w:r>
          </w:p>
        </w:tc>
        <w:tc>
          <w:tcPr>
            <w:tcW w:type="dxa" w:w="2717"/>
            <w:vAlign w:val="top"/>
          </w:tcPr>
          <w:p>
            <w:pPr>
              <w:spacing w:after="80" w:before="60" w:line="276" w:lineRule="auto"/>
            </w:pPr>
            <w:r>
              <w:rPr>
                <w:sz w:val="18"/>
              </w:rPr>
              <w:t>靶材经溅射形成薄膜</w:t>
            </w:r>
          </w:p>
        </w:tc>
        <w:tc>
          <w:tcPr>
            <w:tcW w:type="dxa" w:w="5023"/>
            <w:vAlign w:val="top"/>
          </w:tcPr>
          <w:p>
            <w:pPr>
              <w:spacing w:after="80" w:before="60" w:line="276" w:lineRule="auto"/>
            </w:pPr>
            <w:r>
              <w:rPr>
                <w:sz w:val="18"/>
              </w:rPr>
              <w:t>纯度、晶粒、致密度、颗粒与使用寿命；金属原矿价格不是溅射靶材的全部价值。</w:t>
            </w:r>
            <w:hyperlink r:id="rId248">
              <w:r>
                <w:rPr>
                  <w:color w:val="4338CA"/>
                </w:rPr>
                <w:t>[F022]</w:t>
              </w:r>
            </w:hyperlink>
          </w:p>
        </w:tc>
      </w:tr>
      <w:tr>
        <w:trPr>
          <w:cantSplit/>
        </w:trPr>
        <w:tc>
          <w:tcPr>
            <w:tcW w:type="dxa" w:w="2153"/>
            <w:vAlign w:val="top"/>
          </w:tcPr>
          <w:p>
            <w:pPr>
              <w:spacing w:after="80" w:before="60" w:line="276" w:lineRule="auto"/>
            </w:pPr>
            <w:r>
              <w:rPr>
                <w:sz w:val="18"/>
              </w:rPr>
              <w:t>光刻胶、底层/反射控制、显影/清洗材料</w:t>
            </w:r>
          </w:p>
        </w:tc>
        <w:tc>
          <w:tcPr>
            <w:tcW w:type="dxa" w:w="2717"/>
            <w:vAlign w:val="top"/>
          </w:tcPr>
          <w:p>
            <w:pPr>
              <w:spacing w:after="80" w:before="60" w:line="276" w:lineRule="auto"/>
            </w:pPr>
            <w:r>
              <w:rPr>
                <w:sz w:val="18"/>
              </w:rPr>
              <w:t>成像并转移电路图形</w:t>
            </w:r>
          </w:p>
        </w:tc>
        <w:tc>
          <w:tcPr>
            <w:tcW w:type="dxa" w:w="5023"/>
            <w:vAlign w:val="top"/>
          </w:tcPr>
          <w:p>
            <w:pPr>
              <w:spacing w:after="80" w:before="60" w:line="276" w:lineRule="auto"/>
            </w:pPr>
            <w:r>
              <w:rPr>
                <w:sz w:val="18"/>
              </w:rPr>
              <w:t>分辨率、缺陷、刻蚀耐受、纯化及与 track 的适配；EUV、ArF、KrF 分开评价。</w:t>
            </w:r>
            <w:hyperlink r:id="rId209">
              <w:r>
                <w:rPr>
                  <w:color w:val="4338CA"/>
                </w:rPr>
                <w:t>[F044]</w:t>
              </w:r>
            </w:hyperlink>
          </w:p>
        </w:tc>
      </w:tr>
      <w:tr>
        <w:trPr>
          <w:cantSplit/>
        </w:trPr>
        <w:tc>
          <w:tcPr>
            <w:tcW w:type="dxa" w:w="2153"/>
            <w:vAlign w:val="top"/>
          </w:tcPr>
          <w:p>
            <w:pPr>
              <w:spacing w:after="80" w:before="60" w:line="276" w:lineRule="auto"/>
            </w:pPr>
            <w:r>
              <w:rPr>
                <w:sz w:val="18"/>
              </w:rPr>
              <w:t>DUV 掩模 blank / EUV 光学材料</w:t>
            </w:r>
          </w:p>
        </w:tc>
        <w:tc>
          <w:tcPr>
            <w:tcW w:type="dxa" w:w="2717"/>
            <w:vAlign w:val="top"/>
          </w:tcPr>
          <w:p>
            <w:pPr>
              <w:spacing w:after="80" w:before="60" w:line="276" w:lineRule="auto"/>
            </w:pPr>
            <w:r>
              <w:rPr>
                <w:sz w:val="18"/>
              </w:rPr>
              <w:t>制造图形模板；EUV 采用反射光学</w:t>
            </w:r>
          </w:p>
        </w:tc>
        <w:tc>
          <w:tcPr>
            <w:tcW w:type="dxa" w:w="5023"/>
            <w:vAlign w:val="top"/>
          </w:tcPr>
          <w:p>
            <w:pPr>
              <w:spacing w:after="80" w:before="60" w:line="276" w:lineRule="auto"/>
            </w:pPr>
            <w:r>
              <w:rPr>
                <w:sz w:val="18"/>
              </w:rPr>
              <w:t>blank 缺陷和表面控制影响后续成像；DUV 透射式与 EUV 反射式体系不能互换。</w:t>
            </w:r>
            <w:hyperlink r:id="rId217">
              <w:r>
                <w:rPr>
                  <w:color w:val="4338CA"/>
                </w:rPr>
                <w:t>[F020]</w:t>
              </w:r>
            </w:hyperlink>
            <w:hyperlink r:id="rId216">
              <w:r>
                <w:rPr>
                  <w:color w:val="4338CA"/>
                </w:rPr>
                <w:t>[F054]</w:t>
              </w:r>
            </w:hyperlink>
          </w:p>
        </w:tc>
      </w:tr>
      <w:tr>
        <w:trPr>
          <w:cantSplit/>
        </w:trPr>
        <w:tc>
          <w:tcPr>
            <w:tcW w:type="dxa" w:w="2153"/>
            <w:vAlign w:val="top"/>
          </w:tcPr>
          <w:p>
            <w:pPr>
              <w:spacing w:after="80" w:before="60" w:line="276" w:lineRule="auto"/>
            </w:pPr>
            <w:r>
              <w:rPr>
                <w:sz w:val="18"/>
              </w:rPr>
              <w:t>特气与 CVD/ALD 前驱体</w:t>
            </w:r>
          </w:p>
        </w:tc>
        <w:tc>
          <w:tcPr>
            <w:tcW w:type="dxa" w:w="2717"/>
            <w:vAlign w:val="top"/>
          </w:tcPr>
          <w:p>
            <w:pPr>
              <w:spacing w:after="80" w:before="60" w:line="276" w:lineRule="auto"/>
            </w:pPr>
            <w:r>
              <w:rPr>
                <w:sz w:val="18"/>
              </w:rPr>
              <w:t>反应生成绝缘、金属、半导体薄膜，或执行刻蚀</w:t>
            </w:r>
          </w:p>
        </w:tc>
        <w:tc>
          <w:tcPr>
            <w:tcW w:type="dxa" w:w="5023"/>
            <w:vAlign w:val="top"/>
          </w:tcPr>
          <w:p>
            <w:pPr>
              <w:spacing w:after="80" w:before="60" w:line="276" w:lineRule="auto"/>
            </w:pPr>
            <w:r>
              <w:rPr>
                <w:sz w:val="18"/>
              </w:rPr>
              <w:t>分子、纯度、储存输运、挥发/分解行为、残留和批次一致性共同决定是否可用。</w:t>
            </w:r>
            <w:hyperlink r:id="rId249">
              <w:r>
                <w:rPr>
                  <w:color w:val="4338CA"/>
                </w:rPr>
                <w:t>[F021]</w:t>
              </w:r>
            </w:hyperlink>
            <w:hyperlink r:id="rId250">
              <w:r>
                <w:rPr>
                  <w:color w:val="4338CA"/>
                </w:rPr>
                <w:t>[F045]</w:t>
              </w:r>
            </w:hyperlink>
          </w:p>
        </w:tc>
      </w:tr>
      <w:tr>
        <w:trPr>
          <w:cantSplit/>
        </w:trPr>
        <w:tc>
          <w:tcPr>
            <w:tcW w:type="dxa" w:w="2153"/>
            <w:vAlign w:val="top"/>
          </w:tcPr>
          <w:p>
            <w:pPr>
              <w:spacing w:after="80" w:before="60" w:line="276" w:lineRule="auto"/>
            </w:pPr>
            <w:r>
              <w:rPr>
                <w:sz w:val="18"/>
              </w:rPr>
              <w:t>CMP slurry/pad/brush/filter</w:t>
            </w:r>
          </w:p>
        </w:tc>
        <w:tc>
          <w:tcPr>
            <w:tcW w:type="dxa" w:w="2717"/>
            <w:vAlign w:val="top"/>
          </w:tcPr>
          <w:p>
            <w:pPr>
              <w:spacing w:after="80" w:before="60" w:line="276" w:lineRule="auto"/>
            </w:pPr>
            <w:r>
              <w:rPr>
                <w:sz w:val="18"/>
              </w:rPr>
              <w:t>化学反应与机械去除协同平坦化</w:t>
            </w:r>
          </w:p>
        </w:tc>
        <w:tc>
          <w:tcPr>
            <w:tcW w:type="dxa" w:w="5023"/>
            <w:vAlign w:val="top"/>
          </w:tcPr>
          <w:p>
            <w:pPr>
              <w:spacing w:after="80" w:before="60" w:line="276" w:lineRule="auto"/>
            </w:pPr>
            <w:r>
              <w:rPr>
                <w:sz w:val="18"/>
              </w:rPr>
              <w:t>去除率与选择性、划伤、颗粒团聚及清洗相容性；不能只按磨料硬度评估。</w:t>
            </w:r>
            <w:hyperlink r:id="rId212">
              <w:r>
                <w:rPr>
                  <w:color w:val="4338CA"/>
                </w:rPr>
                <w:t>[F023]</w:t>
              </w:r>
            </w:hyperlink>
            <w:hyperlink r:id="rId251">
              <w:r>
                <w:rPr>
                  <w:color w:val="4338CA"/>
                </w:rPr>
                <w:t>[F043]</w:t>
              </w:r>
            </w:hyperlink>
          </w:p>
        </w:tc>
      </w:tr>
      <w:tr>
        <w:trPr>
          <w:cantSplit/>
        </w:trPr>
        <w:tc>
          <w:tcPr>
            <w:tcW w:type="dxa" w:w="2153"/>
            <w:vAlign w:val="top"/>
          </w:tcPr>
          <w:p>
            <w:pPr>
              <w:spacing w:after="80" w:before="60" w:line="276" w:lineRule="auto"/>
            </w:pPr>
            <w:r>
              <w:rPr>
                <w:sz w:val="18"/>
              </w:rPr>
              <w:t>石英、陶瓷、Si/SiC 设备零件</w:t>
            </w:r>
          </w:p>
        </w:tc>
        <w:tc>
          <w:tcPr>
            <w:tcW w:type="dxa" w:w="2717"/>
            <w:vAlign w:val="top"/>
          </w:tcPr>
          <w:p>
            <w:pPr>
              <w:spacing w:after="80" w:before="60" w:line="276" w:lineRule="auto"/>
            </w:pPr>
            <w:r>
              <w:rPr>
                <w:sz w:val="18"/>
              </w:rPr>
              <w:t>炉管、舟、环、腔体内件、绝缘和耐腐蚀结构</w:t>
            </w:r>
          </w:p>
        </w:tc>
        <w:tc>
          <w:tcPr>
            <w:tcW w:type="dxa" w:w="5023"/>
            <w:vAlign w:val="top"/>
          </w:tcPr>
          <w:p>
            <w:pPr>
              <w:spacing w:after="80" w:before="60" w:line="276" w:lineRule="auto"/>
            </w:pPr>
            <w:r>
              <w:rPr>
                <w:sz w:val="18"/>
              </w:rPr>
              <w:t>热/化学循环、颗粒脱落、清洗再生寿命；这类“耗材”不一定留在最终芯片内。</w:t>
            </w:r>
            <w:hyperlink r:id="rId243">
              <w:r>
                <w:rPr>
                  <w:color w:val="4338CA"/>
                </w:rPr>
                <w:t>[F068]</w:t>
              </w:r>
            </w:hyperlink>
          </w:p>
        </w:tc>
      </w:tr>
    </w:tbl>
    <w:p>
      <w:pPr>
        <w:spacing w:after="0"/>
      </w:pPr>
    </w:p>
    <w:p>
      <w:pPr>
        <w:pStyle w:val="Heading2"/>
      </w:pPr>
      <w:r>
        <w:t>回答“芯片层之间用什么隔离”</w:t>
      </w:r>
    </w:p>
    <w:p>
      <w:pPr/>
      <w:r>
        <w:t xml:space="preserve">必须先问隔离发生在哪里。晶圆内的绝缘薄膜、布线间 low-k、SOI 埋氧层，以及封装基板的 ABF/BT，尺度、介电任务、温度和制程完全不同。堆叠结构的层间电隔离无法靠一张通用隔离膜解决：该绝缘的区域需要介质，该导通的区域需要受控的金属互连，二者要一起制造和测试。</w:t>
      </w:r>
      <w:hyperlink r:id="rId53">
        <w:r>
          <w:rPr>
            <w:color w:val="4338CA"/>
          </w:rPr>
          <w:t>[F005]</w:t>
        </w:r>
      </w:hyperlink>
      <w:hyperlink r:id="rId241">
        <w:r>
          <w:rPr>
            <w:color w:val="4338CA"/>
          </w:rPr>
          <w:t>[F024]</w:t>
        </w:r>
      </w:hyperlink>
      <w:hyperlink r:id="rId252">
        <w:r>
          <w:rPr>
            <w:color w:val="4338CA"/>
          </w:rPr>
          <w:t>[F046]</w:t>
        </w:r>
      </w:hyperlink>
      <w:hyperlink r:id="rId246">
        <w:r>
          <w:rPr>
            <w:color w:val="4338CA"/>
          </w:rPr>
          <w:t>[F050]</w:t>
        </w:r>
      </w:hyperlink>
    </w:p>
    <w:p>
      <w:pPr/>
      <w:r>
        <w:t>NAND 叠层中出现的氧化硅/氮化硅，要区分工艺中间结构与最终器件；Lam 资料明确把叠层控制、深孔刻蚀、金属字线和应力控制放在同一个系统里。详细电荷俘获结构见存储章；这里的材料判断原则是：先确认它在该工序是永久功能层、牺牲层、掩膜还是保护层，再判断供应商及工艺壁垒。</w:t>
      </w:r>
      <w:hyperlink r:id="rId50">
        <w:r>
          <w:rPr>
            <w:color w:val="4338CA"/>
          </w:rPr>
          <w:t>[F007]</w:t>
        </w:r>
      </w:hyperlink>
    </w:p>
    <w:p>
      <w:pPr/>
      <w:r>
        <w:t>对芯片三维封装，EVG 说明混合键合是在介质键合界面嵌入金属接点，形成机械连接和电连接；这和用有机 ABF 形成封装基板层间绝缘不是同一道工艺。推论：需要同时看绝缘漏电、Cu 接点、表面平坦度、颗粒、对准及热循环，不能只找一种“最先进绝缘材料”。</w:t>
      </w:r>
      <w:hyperlink r:id="rId253">
        <w:r>
          <w:rPr>
            <w:color w:val="4338CA"/>
          </w:rPr>
          <w:t>[F029]</w:t>
        </w:r>
      </w:hyperlink>
      <w:hyperlink r:id="rId241">
        <w:r>
          <w:rPr>
            <w:color w:val="4338CA"/>
          </w:rPr>
          <w:t>[F024]</w:t>
        </w:r>
      </w:hyperlink>
    </w:p>
    <w:p>
      <w:pPr>
        <w:pStyle w:val="Heading2"/>
      </w:pPr>
      <w:r>
        <w:t>封装与散热材料</w:t>
      </w:r>
    </w:p>
    <w:tbl>
      <w:tblPr>
        <w:tblW w:type="auto" w:w="0"/>
        <w:jc w:val="center"/>
        <w:tblLayout w:type="fixed"/>
        <w:tblLook w:firstColumn="1" w:firstRow="1" w:lastColumn="0" w:lastRow="0" w:noHBand="0" w:noVBand="1" w:val="04A0"/>
      </w:tblPr>
      <w:tblGrid>
        <w:gridCol w:w="1833"/>
        <w:gridCol w:w="2796"/>
        <w:gridCol w:w="5264"/>
      </w:tblGrid>
      <w:tr>
        <w:trPr>
          <w:tblHeader/>
        </w:trPr>
        <w:tc>
          <w:tcPr>
            <w:tcW w:type="dxa" w:w="1833"/>
            <w:vAlign w:val="top"/>
            <w:shd w:fill="E0E7FF"/>
          </w:tcPr>
          <w:p>
            <w:pPr>
              <w:spacing w:after="80" w:before="60" w:line="276" w:lineRule="auto"/>
            </w:pPr>
            <w:r>
              <w:rPr>
                <w:b/>
                <w:sz w:val="18"/>
              </w:rPr>
              <w:t>材料</w:t>
            </w:r>
          </w:p>
        </w:tc>
        <w:tc>
          <w:tcPr>
            <w:tcW w:type="dxa" w:w="2796"/>
            <w:vAlign w:val="top"/>
            <w:shd w:fill="E0E7FF"/>
          </w:tcPr>
          <w:p>
            <w:pPr>
              <w:spacing w:after="80" w:before="60" w:line="276" w:lineRule="auto"/>
            </w:pPr>
            <w:r>
              <w:rPr>
                <w:b/>
                <w:sz w:val="18"/>
              </w:rPr>
              <w:t>精确位置/作用</w:t>
            </w:r>
          </w:p>
        </w:tc>
        <w:tc>
          <w:tcPr>
            <w:tcW w:type="dxa" w:w="5264"/>
            <w:vAlign w:val="top"/>
            <w:shd w:fill="E0E7FF"/>
          </w:tcPr>
          <w:p>
            <w:pPr>
              <w:spacing w:after="80" w:before="60" w:line="276" w:lineRule="auto"/>
            </w:pPr>
            <w:r>
              <w:rPr>
                <w:b/>
                <w:sz w:val="18"/>
              </w:rPr>
              <w:t>工程风险与状态</w:t>
            </w:r>
          </w:p>
        </w:tc>
      </w:tr>
      <w:tr>
        <w:trPr>
          <w:cantSplit/>
        </w:trPr>
        <w:tc>
          <w:tcPr>
            <w:tcW w:type="dxa" w:w="1833"/>
            <w:vAlign w:val="top"/>
          </w:tcPr>
          <w:p>
            <w:pPr>
              <w:spacing w:after="80" w:before="60" w:line="276" w:lineRule="auto"/>
            </w:pPr>
            <w:r>
              <w:rPr>
                <w:sz w:val="18"/>
              </w:rPr>
              <w:t>ABF 增层绝缘膜</w:t>
            </w:r>
          </w:p>
        </w:tc>
        <w:tc>
          <w:tcPr>
            <w:tcW w:type="dxa" w:w="2796"/>
            <w:vAlign w:val="top"/>
          </w:tcPr>
          <w:p>
            <w:pPr>
              <w:spacing w:after="80" w:before="60" w:line="276" w:lineRule="auto"/>
            </w:pPr>
            <w:r>
              <w:rPr>
                <w:sz w:val="18"/>
              </w:rPr>
              <w:t>封装基板多层微线路间绝缘，连接纳米级芯片与较大尺度板级互连</w:t>
            </w:r>
          </w:p>
        </w:tc>
        <w:tc>
          <w:tcPr>
            <w:tcW w:type="dxa" w:w="5264"/>
            <w:vAlign w:val="top"/>
          </w:tcPr>
          <w:p>
            <w:pPr>
              <w:spacing w:after="80" w:before="60" w:line="276" w:lineRule="auto"/>
            </w:pPr>
            <w:r>
              <w:rPr>
                <w:sz w:val="18"/>
              </w:rPr>
              <w:t>味之素官方强调树脂/无机成分分散、低热膨胀与加工性；ABF 膜厂、基板厂、封装厂不是同一角色。</w:t>
            </w:r>
            <w:hyperlink r:id="rId241">
              <w:r>
                <w:rPr>
                  <w:color w:val="4338CA"/>
                </w:rPr>
                <w:t>[F024]</w:t>
              </w:r>
            </w:hyperlink>
          </w:p>
        </w:tc>
      </w:tr>
      <w:tr>
        <w:trPr>
          <w:cantSplit/>
        </w:trPr>
        <w:tc>
          <w:tcPr>
            <w:tcW w:type="dxa" w:w="1833"/>
            <w:vAlign w:val="top"/>
          </w:tcPr>
          <w:p>
            <w:pPr>
              <w:spacing w:after="80" w:before="60" w:line="276" w:lineRule="auto"/>
            </w:pPr>
            <w:r>
              <w:rPr>
                <w:sz w:val="18"/>
              </w:rPr>
              <w:t>BT 树脂/层压材料</w:t>
            </w:r>
          </w:p>
        </w:tc>
        <w:tc>
          <w:tcPr>
            <w:tcW w:type="dxa" w:w="2796"/>
            <w:vAlign w:val="top"/>
          </w:tcPr>
          <w:p>
            <w:pPr>
              <w:spacing w:after="80" w:before="60" w:line="276" w:lineRule="auto"/>
            </w:pPr>
            <w:r>
              <w:rPr>
                <w:sz w:val="18"/>
              </w:rPr>
              <w:t>半导体封装基板材料体系</w:t>
            </w:r>
          </w:p>
        </w:tc>
        <w:tc>
          <w:tcPr>
            <w:tcW w:type="dxa" w:w="5264"/>
            <w:vAlign w:val="top"/>
          </w:tcPr>
          <w:p>
            <w:pPr>
              <w:spacing w:after="80" w:before="60" w:line="276" w:lineRule="auto"/>
            </w:pPr>
            <w:r>
              <w:rPr>
                <w:sz w:val="18"/>
              </w:rPr>
              <w:t>三菱瓦斯化学将 BT 定义为以 bismaleimide/triazine 为主的聚合树脂；与 ABF 比较必须匹配产品结构和工艺。</w:t>
            </w:r>
            <w:hyperlink r:id="rId252">
              <w:r>
                <w:rPr>
                  <w:color w:val="4338CA"/>
                </w:rPr>
                <w:t>[F046]</w:t>
              </w:r>
            </w:hyperlink>
          </w:p>
        </w:tc>
      </w:tr>
      <w:tr>
        <w:trPr>
          <w:cantSplit/>
        </w:trPr>
        <w:tc>
          <w:tcPr>
            <w:tcW w:type="dxa" w:w="1833"/>
            <w:vAlign w:val="top"/>
          </w:tcPr>
          <w:p>
            <w:pPr>
              <w:spacing w:after="80" w:before="60" w:line="276" w:lineRule="auto"/>
            </w:pPr>
            <w:r>
              <w:rPr>
                <w:sz w:val="18"/>
              </w:rPr>
              <w:t>焊料/铜柱、底填、模封</w:t>
            </w:r>
          </w:p>
        </w:tc>
        <w:tc>
          <w:tcPr>
            <w:tcW w:type="dxa" w:w="2796"/>
            <w:vAlign w:val="top"/>
          </w:tcPr>
          <w:p>
            <w:pPr>
              <w:spacing w:after="80" w:before="60" w:line="276" w:lineRule="auto"/>
            </w:pPr>
            <w:r>
              <w:rPr>
                <w:sz w:val="18"/>
              </w:rPr>
              <w:t>电连接及机械保护</w:t>
            </w:r>
          </w:p>
        </w:tc>
        <w:tc>
          <w:tcPr>
            <w:tcW w:type="dxa" w:w="5264"/>
            <w:vAlign w:val="top"/>
          </w:tcPr>
          <w:p>
            <w:pPr>
              <w:spacing w:after="80" w:before="60" w:line="276" w:lineRule="auto"/>
            </w:pPr>
            <w:r>
              <w:rPr>
                <w:sz w:val="18"/>
              </w:rPr>
              <w:t>底填增强互连对热机械应力的耐受；与模封树脂、die attach、lid attach 分开核算。</w:t>
            </w:r>
            <w:hyperlink r:id="rId254">
              <w:r>
                <w:rPr>
                  <w:color w:val="4338CA"/>
                </w:rPr>
                <w:t>[F055]</w:t>
              </w:r>
            </w:hyperlink>
            <w:hyperlink r:id="rId255">
              <w:r>
                <w:rPr>
                  <w:color w:val="4338CA"/>
                </w:rPr>
                <w:t>[F056]</w:t>
              </w:r>
            </w:hyperlink>
          </w:p>
        </w:tc>
      </w:tr>
      <w:tr>
        <w:trPr>
          <w:cantSplit/>
        </w:trPr>
        <w:tc>
          <w:tcPr>
            <w:tcW w:type="dxa" w:w="1833"/>
            <w:vAlign w:val="top"/>
          </w:tcPr>
          <w:p>
            <w:pPr>
              <w:spacing w:after="80" w:before="60" w:line="276" w:lineRule="auto"/>
            </w:pPr>
            <w:r>
              <w:rPr>
                <w:sz w:val="18"/>
              </w:rPr>
              <w:t>TIM、铜散热件、复合材料</w:t>
            </w:r>
          </w:p>
        </w:tc>
        <w:tc>
          <w:tcPr>
            <w:tcW w:type="dxa" w:w="2796"/>
            <w:vAlign w:val="top"/>
          </w:tcPr>
          <w:p>
            <w:pPr>
              <w:spacing w:after="80" w:before="60" w:line="276" w:lineRule="auto"/>
            </w:pPr>
            <w:r>
              <w:rPr>
                <w:sz w:val="18"/>
              </w:rPr>
              <w:t>将芯片热量传到顶盖/冷板等后续结构</w:t>
            </w:r>
          </w:p>
        </w:tc>
        <w:tc>
          <w:tcPr>
            <w:tcW w:type="dxa" w:w="5264"/>
            <w:vAlign w:val="top"/>
          </w:tcPr>
          <w:p>
            <w:pPr>
              <w:spacing w:after="80" w:before="60" w:line="276" w:lineRule="auto"/>
            </w:pPr>
            <w:r>
              <w:rPr>
                <w:sz w:val="18"/>
              </w:rPr>
              <w:t>体材料导热率之外还看界面热阻、厚度、泵出、老化及接触压力；Henkel 供应不同界面及保护材料。</w:t>
            </w:r>
            <w:hyperlink r:id="rId254">
              <w:r>
                <w:rPr>
                  <w:color w:val="4338CA"/>
                </w:rPr>
                <w:t>[F055]</w:t>
              </w:r>
            </w:hyperlink>
          </w:p>
        </w:tc>
      </w:tr>
      <w:tr>
        <w:trPr>
          <w:cantSplit/>
        </w:trPr>
        <w:tc>
          <w:tcPr>
            <w:tcW w:type="dxa" w:w="1833"/>
            <w:vAlign w:val="top"/>
          </w:tcPr>
          <w:p>
            <w:pPr>
              <w:spacing w:after="80" w:before="60" w:line="276" w:lineRule="auto"/>
            </w:pPr>
            <w:r>
              <w:rPr>
                <w:sz w:val="18"/>
              </w:rPr>
              <w:t>玻璃芯基板</w:t>
            </w:r>
          </w:p>
        </w:tc>
        <w:tc>
          <w:tcPr>
            <w:tcW w:type="dxa" w:w="2796"/>
            <w:vAlign w:val="top"/>
          </w:tcPr>
          <w:p>
            <w:pPr>
              <w:spacing w:after="80" w:before="60" w:line="276" w:lineRule="auto"/>
            </w:pPr>
            <w:r>
              <w:rPr>
                <w:sz w:val="18"/>
              </w:rPr>
              <w:t>更大、更密封装的候选基板平台</w:t>
            </w:r>
          </w:p>
        </w:tc>
        <w:tc>
          <w:tcPr>
            <w:tcW w:type="dxa" w:w="5264"/>
            <w:vAlign w:val="top"/>
          </w:tcPr>
          <w:p>
            <w:pPr>
              <w:spacing w:after="80" w:before="60" w:line="276" w:lineRule="auto"/>
            </w:pPr>
            <w:r>
              <w:rPr>
                <w:sz w:val="18"/>
              </w:rPr>
              <w:t>Intel 2023 年公告是研发/测试与后续路线规划；不能由测试载具推出所有 AI 封装已全面采用玻璃。</w:t>
            </w:r>
            <w:hyperlink r:id="rId256">
              <w:r>
                <w:rPr>
                  <w:color w:val="4338CA"/>
                </w:rPr>
                <w:t>[F025]</w:t>
              </w:r>
            </w:hyperlink>
          </w:p>
        </w:tc>
      </w:tr>
      <w:tr>
        <w:trPr>
          <w:cantSplit/>
        </w:trPr>
        <w:tc>
          <w:tcPr>
            <w:tcW w:type="dxa" w:w="1833"/>
            <w:vAlign w:val="top"/>
          </w:tcPr>
          <w:p>
            <w:pPr>
              <w:spacing w:after="80" w:before="60" w:line="276" w:lineRule="auto"/>
            </w:pPr>
            <w:r>
              <w:rPr>
                <w:sz w:val="18"/>
              </w:rPr>
              <w:t>CVD 金刚石、Cu-diamond</w:t>
            </w:r>
          </w:p>
        </w:tc>
        <w:tc>
          <w:tcPr>
            <w:tcW w:type="dxa" w:w="2796"/>
            <w:vAlign w:val="top"/>
          </w:tcPr>
          <w:p>
            <w:pPr>
              <w:spacing w:after="80" w:before="60" w:line="276" w:lineRule="auto"/>
            </w:pPr>
            <w:r>
              <w:rPr>
                <w:sz w:val="18"/>
              </w:rPr>
              <w:t>近芯片热扩散材料路线</w:t>
            </w:r>
          </w:p>
        </w:tc>
        <w:tc>
          <w:tcPr>
            <w:tcW w:type="dxa" w:w="5264"/>
            <w:vAlign w:val="top"/>
          </w:tcPr>
          <w:p>
            <w:pPr>
              <w:spacing w:after="80" w:before="60" w:line="276" w:lineRule="auto"/>
            </w:pPr>
            <w:r>
              <w:rPr>
                <w:sz w:val="18"/>
              </w:rPr>
              <w:t>Element Six 提供相应方案；产品可获得不等于大规模 AI GPU 量产份额。优先询问界面、加工、良率、成本及可靠性。</w:t>
            </w:r>
            <w:hyperlink r:id="rId257">
              <w:r>
                <w:rPr>
                  <w:color w:val="4338CA"/>
                </w:rPr>
                <w:t>[F052]</w:t>
              </w:r>
            </w:hyperlink>
          </w:p>
        </w:tc>
      </w:tr>
      <w:tr>
        <w:trPr>
          <w:cantSplit/>
        </w:trPr>
        <w:tc>
          <w:tcPr>
            <w:tcW w:type="dxa" w:w="1833"/>
            <w:vAlign w:val="top"/>
          </w:tcPr>
          <w:p>
            <w:pPr>
              <w:spacing w:after="80" w:before="60" w:line="276" w:lineRule="auto"/>
            </w:pPr>
            <w:r>
              <w:rPr>
                <w:sz w:val="18"/>
              </w:rPr>
              <w:t>高导热 SiC 衬底</w:t>
            </w:r>
          </w:p>
        </w:tc>
        <w:tc>
          <w:tcPr>
            <w:tcW w:type="dxa" w:w="2796"/>
            <w:vAlign w:val="top"/>
          </w:tcPr>
          <w:p>
            <w:pPr>
              <w:spacing w:after="80" w:before="60" w:line="276" w:lineRule="auto"/>
            </w:pPr>
            <w:r>
              <w:rPr>
                <w:sz w:val="18"/>
              </w:rPr>
              <w:t>可用于热管理，与功率器件用 SiC 业务需分开</w:t>
            </w:r>
          </w:p>
        </w:tc>
        <w:tc>
          <w:tcPr>
            <w:tcW w:type="dxa" w:w="5264"/>
            <w:vAlign w:val="top"/>
          </w:tcPr>
          <w:p>
            <w:pPr>
              <w:spacing w:after="80" w:before="60" w:line="276" w:lineRule="auto"/>
            </w:pPr>
            <w:r>
              <w:rPr>
                <w:sz w:val="18"/>
              </w:rPr>
              <w:t>Coherent 2026 年 8 月 17 日公告 300 mm 高导热 SiC 开始客户送样；本报告标记为送样，不写成规模量产收入。</w:t>
            </w:r>
            <w:hyperlink r:id="rId258">
              <w:r>
                <w:rPr>
                  <w:color w:val="4338CA"/>
                </w:rPr>
                <w:t>[F064]</w:t>
              </w:r>
            </w:hyperlink>
          </w:p>
        </w:tc>
      </w:tr>
    </w:tbl>
    <w:p>
      <w:pPr>
        <w:spacing w:after="0"/>
      </w:pPr>
    </w:p>
    <w:p>
      <w:pPr>
        <w:pStyle w:val="Heading2"/>
      </w:pPr>
      <w:r>
        <w:t>光电与功率材料 跨入机房系统</w:t>
      </w:r>
    </w:p>
    <w:p>
      <w:pPr/>
      <w:r>
        <w:t>InP 用于高速光通信相关激光器/探测器材料平台，SOI 为硅光提供器件基础；两者可在同一光引擎供应链出现。AXT 的 InP 衬底是晶圆材料，不是装好的激光器或光模块。它的总部在美国，制造在中国子公司；“美国公司/中国公司”单一标签不足以描述这一供应风险。</w:t>
      </w:r>
      <w:hyperlink r:id="rId259">
        <w:r>
          <w:rPr>
            <w:color w:val="4338CA"/>
          </w:rPr>
          <w:t>[F062]</w:t>
        </w:r>
      </w:hyperlink>
      <w:hyperlink r:id="rId260">
        <w:r>
          <w:rPr>
            <w:color w:val="4338CA"/>
          </w:rPr>
          <w:t>[F072]</w:t>
        </w:r>
      </w:hyperlink>
      <w:hyperlink r:id="rId246">
        <w:r>
          <w:rPr>
            <w:color w:val="4338CA"/>
          </w:rPr>
          <w:t>[F050]</w:t>
        </w:r>
      </w:hyperlink>
    </w:p>
    <w:p>
      <w:pPr/>
      <w:r>
        <w:t>Si、SiC、GaN 在数据中心电源内可混合使用。Infineon 的 8 kW 参考设计用 SiC PFC、GaN 等 DC-DC 级，说明材料选择取决于电压、电流、频率、成本与拓扑，而不是高价材料完全替代硅。参考板峰值效率不等于机房全年端到端效率。</w:t>
      </w:r>
      <w:hyperlink r:id="rId242">
        <w:r>
          <w:rPr>
            <w:color w:val="4338CA"/>
          </w:rPr>
          <w:t>[F053]</w:t>
        </w:r>
      </w:hyperlink>
    </w:p>
    <w:p>
      <w:pPr>
        <w:pStyle w:val="Heading1"/>
        <w:pageBreakBefore/>
      </w:pPr>
      <w:r>
        <w:t>06B  材料公司分布与投资验证</w:t>
      </w:r>
    </w:p>
    <w:p>
      <w:pPr>
        <w:pStyle w:val="Heading2"/>
      </w:pPr>
      <w:r>
        <w:t>区域公司地图</w:t>
      </w:r>
    </w:p>
    <w:p>
      <w:pPr/>
      <w:r>
        <w:t>同一公司可能跨地区生产；以下地区主要用于识别公司和供应网络，不代表生产原产地、出口资格或客户认证。列举代表性公司用于形成可研究的蓝图，不作没有统一口径的“全球前五”排名。</w:t>
      </w:r>
      <w:hyperlink r:id="rId260">
        <w:r>
          <w:rPr>
            <w:color w:val="4338CA"/>
          </w:rPr>
          <w:t>[F072]</w:t>
        </w:r>
      </w:hyperlink>
      <w:hyperlink r:id="rId261">
        <w:r>
          <w:rPr>
            <w:color w:val="4338CA"/>
          </w:rPr>
          <w:t>[F065]</w:t>
        </w:r>
      </w:hyperlink>
    </w:p>
    <w:tbl>
      <w:tblPr>
        <w:tblW w:type="auto" w:w="0"/>
        <w:jc w:val="center"/>
        <w:tblLayout w:type="fixed"/>
        <w:tblLook w:firstColumn="1" w:firstRow="1" w:lastColumn="0" w:lastRow="0" w:noHBand="0" w:noVBand="1" w:val="04A0"/>
      </w:tblPr>
      <w:tblGrid>
        <w:gridCol w:w="957"/>
        <w:gridCol w:w="4468"/>
        <w:gridCol w:w="4468"/>
      </w:tblGrid>
      <w:tr>
        <w:trPr>
          <w:tblHeader/>
        </w:trPr>
        <w:tc>
          <w:tcPr>
            <w:tcW w:type="dxa" w:w="957"/>
            <w:vAlign w:val="top"/>
            <w:shd w:fill="E0E7FF"/>
          </w:tcPr>
          <w:p>
            <w:pPr>
              <w:spacing w:after="80" w:before="60" w:line="276" w:lineRule="auto"/>
            </w:pPr>
            <w:r>
              <w:rPr>
                <w:b/>
                <w:sz w:val="18"/>
              </w:rPr>
              <w:t>地区</w:t>
            </w:r>
          </w:p>
        </w:tc>
        <w:tc>
          <w:tcPr>
            <w:tcW w:type="dxa" w:w="4468"/>
            <w:vAlign w:val="top"/>
            <w:shd w:fill="E0E7FF"/>
          </w:tcPr>
          <w:p>
            <w:pPr>
              <w:spacing w:after="80" w:before="60" w:line="276" w:lineRule="auto"/>
            </w:pPr>
            <w:r>
              <w:rPr>
                <w:b/>
                <w:sz w:val="18"/>
              </w:rPr>
              <w:t>公司及公开能力</w:t>
            </w:r>
          </w:p>
        </w:tc>
        <w:tc>
          <w:tcPr>
            <w:tcW w:type="dxa" w:w="4468"/>
            <w:vAlign w:val="top"/>
            <w:shd w:fill="E0E7FF"/>
          </w:tcPr>
          <w:p>
            <w:pPr>
              <w:spacing w:after="80" w:before="60" w:line="276" w:lineRule="auto"/>
            </w:pPr>
            <w:r>
              <w:rPr>
                <w:b/>
                <w:sz w:val="18"/>
              </w:rPr>
              <w:t>进一步要拆的问题</w:t>
            </w:r>
          </w:p>
        </w:tc>
      </w:tr>
      <w:tr>
        <w:trPr>
          <w:cantSplit/>
        </w:trPr>
        <w:tc>
          <w:tcPr>
            <w:tcW w:type="dxa" w:w="957"/>
            <w:vAlign w:val="top"/>
          </w:tcPr>
          <w:p>
            <w:pPr>
              <w:spacing w:after="80" w:before="60" w:line="276" w:lineRule="auto"/>
            </w:pPr>
            <w:r>
              <w:rPr>
                <w:sz w:val="18"/>
              </w:rPr>
              <w:t>美国</w:t>
            </w:r>
          </w:p>
        </w:tc>
        <w:tc>
          <w:tcPr>
            <w:tcW w:type="dxa" w:w="4468"/>
            <w:vAlign w:val="top"/>
          </w:tcPr>
          <w:p>
            <w:pPr>
              <w:spacing w:after="80" w:before="60" w:line="276" w:lineRule="auto"/>
            </w:pPr>
            <w:r>
              <w:rPr>
                <w:sz w:val="18"/>
              </w:rPr>
              <w:t>Entegris：CMP、过滤、污染控制；Hemlock：多晶硅</w:t>
            </w:r>
          </w:p>
        </w:tc>
        <w:tc>
          <w:tcPr>
            <w:tcW w:type="dxa" w:w="4468"/>
            <w:vAlign w:val="top"/>
          </w:tcPr>
          <w:p>
            <w:pPr>
              <w:spacing w:after="80" w:before="60" w:line="276" w:lineRule="auto"/>
            </w:pPr>
            <w:r>
              <w:rPr>
                <w:sz w:val="18"/>
              </w:rPr>
              <w:t>工艺耗材、容器/过滤及材料产品分别核算；电子级和光伏需求分开。</w:t>
            </w:r>
            <w:hyperlink r:id="rId212">
              <w:r>
                <w:rPr>
                  <w:color w:val="4338CA"/>
                </w:rPr>
                <w:t>[F023]</w:t>
              </w:r>
            </w:hyperlink>
            <w:hyperlink r:id="rId262">
              <w:r>
                <w:rPr>
                  <w:color w:val="4338CA"/>
                </w:rPr>
                <w:t>[F067]</w:t>
              </w:r>
            </w:hyperlink>
          </w:p>
        </w:tc>
      </w:tr>
      <w:tr>
        <w:trPr>
          <w:cantSplit/>
        </w:trPr>
        <w:tc>
          <w:tcPr>
            <w:tcW w:type="dxa" w:w="957"/>
            <w:vAlign w:val="top"/>
          </w:tcPr>
          <w:p>
            <w:pPr>
              <w:spacing w:after="80" w:before="60" w:line="276" w:lineRule="auto"/>
            </w:pPr>
            <w:r>
              <w:rPr>
                <w:sz w:val="18"/>
              </w:rPr>
              <w:t>美国/中国制造网络</w:t>
            </w:r>
          </w:p>
        </w:tc>
        <w:tc>
          <w:tcPr>
            <w:tcW w:type="dxa" w:w="4468"/>
            <w:vAlign w:val="top"/>
          </w:tcPr>
          <w:p>
            <w:pPr>
              <w:spacing w:after="80" w:before="60" w:line="276" w:lineRule="auto"/>
            </w:pPr>
            <w:r>
              <w:rPr>
                <w:sz w:val="18"/>
              </w:rPr>
              <w:t>AXT/Tongmei：InP、GaAs、Ge 衬底；VGF 晶体生长</w:t>
            </w:r>
          </w:p>
        </w:tc>
        <w:tc>
          <w:tcPr>
            <w:tcW w:type="dxa" w:w="4468"/>
            <w:vAlign w:val="top"/>
          </w:tcPr>
          <w:p>
            <w:pPr>
              <w:spacing w:after="80" w:before="60" w:line="276" w:lineRule="auto"/>
            </w:pPr>
            <w:r>
              <w:rPr>
                <w:sz w:val="18"/>
              </w:rPr>
              <w:t>公司归属、制造地、原料来源与跨境交付路径分开；不采信官网未经独立验证的供应商数量/份额作为事实。</w:t>
            </w:r>
            <w:hyperlink r:id="rId259">
              <w:r>
                <w:rPr>
                  <w:color w:val="4338CA"/>
                </w:rPr>
                <w:t>[F062]</w:t>
              </w:r>
            </w:hyperlink>
            <w:hyperlink r:id="rId260">
              <w:r>
                <w:rPr>
                  <w:color w:val="4338CA"/>
                </w:rPr>
                <w:t>[F072]</w:t>
              </w:r>
            </w:hyperlink>
          </w:p>
        </w:tc>
      </w:tr>
      <w:tr>
        <w:trPr>
          <w:cantSplit/>
        </w:trPr>
        <w:tc>
          <w:tcPr>
            <w:tcW w:type="dxa" w:w="957"/>
            <w:vAlign w:val="top"/>
          </w:tcPr>
          <w:p>
            <w:pPr>
              <w:spacing w:after="80" w:before="60" w:line="276" w:lineRule="auto"/>
            </w:pPr>
            <w:r>
              <w:rPr>
                <w:sz w:val="18"/>
              </w:rPr>
              <w:t>中国大陆</w:t>
            </w:r>
          </w:p>
        </w:tc>
        <w:tc>
          <w:tcPr>
            <w:tcW w:type="dxa" w:w="4468"/>
            <w:vAlign w:val="top"/>
          </w:tcPr>
          <w:p>
            <w:pPr>
              <w:spacing w:after="80" w:before="60" w:line="276" w:lineRule="auto"/>
            </w:pPr>
            <w:r>
              <w:rPr>
                <w:sz w:val="18"/>
              </w:rPr>
              <w:t>沪硅 NSIG：300 mm 硅片及 SOI/定制晶圆网络</w:t>
            </w:r>
          </w:p>
        </w:tc>
        <w:tc>
          <w:tcPr>
            <w:tcW w:type="dxa" w:w="4468"/>
            <w:vAlign w:val="top"/>
          </w:tcPr>
          <w:p>
            <w:pPr>
              <w:spacing w:after="80" w:before="60" w:line="276" w:lineRule="auto"/>
            </w:pPr>
            <w:r>
              <w:rPr>
                <w:sz w:val="18"/>
              </w:rPr>
              <w:t>官网所列部分客户认证不等于所有产品节点全覆盖；300 mm 产能还要问正片/测试片、合格率及利用率。</w:t>
            </w:r>
            <w:hyperlink r:id="rId263">
              <w:r>
                <w:rPr>
                  <w:color w:val="4338CA"/>
                </w:rPr>
                <w:t>[F041]</w:t>
              </w:r>
            </w:hyperlink>
          </w:p>
        </w:tc>
      </w:tr>
      <w:tr>
        <w:trPr>
          <w:cantSplit/>
        </w:trPr>
        <w:tc>
          <w:tcPr>
            <w:tcW w:type="dxa" w:w="957"/>
            <w:vAlign w:val="top"/>
          </w:tcPr>
          <w:p>
            <w:pPr>
              <w:spacing w:after="80" w:before="60" w:line="276" w:lineRule="auto"/>
            </w:pPr>
            <w:r>
              <w:rPr>
                <w:sz w:val="18"/>
              </w:rPr>
              <w:t>中国大陆</w:t>
            </w:r>
          </w:p>
        </w:tc>
        <w:tc>
          <w:tcPr>
            <w:tcW w:type="dxa" w:w="4468"/>
            <w:vAlign w:val="top"/>
          </w:tcPr>
          <w:p>
            <w:pPr>
              <w:spacing w:after="80" w:before="60" w:line="276" w:lineRule="auto"/>
            </w:pPr>
            <w:r>
              <w:rPr>
                <w:sz w:val="18"/>
              </w:rPr>
              <w:t>安集科技：Cu/阻挡层、介质、W、衬底及先进封装 CMP 化学品</w:t>
            </w:r>
          </w:p>
        </w:tc>
        <w:tc>
          <w:tcPr>
            <w:tcW w:type="dxa" w:w="4468"/>
            <w:vAlign w:val="top"/>
          </w:tcPr>
          <w:p>
            <w:pPr>
              <w:spacing w:after="80" w:before="60" w:line="276" w:lineRule="auto"/>
            </w:pPr>
            <w:r>
              <w:rPr>
                <w:sz w:val="18"/>
              </w:rPr>
              <w:t>TSV/混合键合新配方、已量产与下一代验证状态逐项确认。</w:t>
            </w:r>
            <w:hyperlink r:id="rId251">
              <w:r>
                <w:rPr>
                  <w:color w:val="4338CA"/>
                </w:rPr>
                <w:t>[F043]</w:t>
              </w:r>
            </w:hyperlink>
          </w:p>
        </w:tc>
      </w:tr>
      <w:tr>
        <w:trPr>
          <w:cantSplit/>
        </w:trPr>
        <w:tc>
          <w:tcPr>
            <w:tcW w:type="dxa" w:w="957"/>
            <w:vAlign w:val="top"/>
          </w:tcPr>
          <w:p>
            <w:pPr>
              <w:spacing w:after="80" w:before="60" w:line="276" w:lineRule="auto"/>
            </w:pPr>
            <w:r>
              <w:rPr>
                <w:sz w:val="18"/>
              </w:rPr>
              <w:t>中国大陆</w:t>
            </w:r>
          </w:p>
        </w:tc>
        <w:tc>
          <w:tcPr>
            <w:tcW w:type="dxa" w:w="4468"/>
            <w:vAlign w:val="top"/>
          </w:tcPr>
          <w:p>
            <w:pPr>
              <w:spacing w:after="80" w:before="60" w:line="276" w:lineRule="auto"/>
            </w:pPr>
            <w:r>
              <w:rPr>
                <w:sz w:val="18"/>
              </w:rPr>
              <w:t>华特气体：电子特气及光刻混合气</w:t>
            </w:r>
          </w:p>
        </w:tc>
        <w:tc>
          <w:tcPr>
            <w:tcW w:type="dxa" w:w="4468"/>
            <w:vAlign w:val="top"/>
          </w:tcPr>
          <w:p>
            <w:pPr>
              <w:spacing w:after="80" w:before="60" w:line="276" w:lineRule="auto"/>
            </w:pPr>
            <w:r>
              <w:rPr>
                <w:sz w:val="18"/>
              </w:rPr>
              <w:t>2025-06-20 官网列举产品和认证，属于公司声明；不能把某种光刻气认证扩展为全部气体或全部客户认证。</w:t>
            </w:r>
            <w:hyperlink r:id="rId264">
              <w:r>
                <w:rPr>
                  <w:color w:val="4338CA"/>
                </w:rPr>
                <w:t>[F042]</w:t>
              </w:r>
            </w:hyperlink>
          </w:p>
        </w:tc>
      </w:tr>
      <w:tr>
        <w:trPr>
          <w:cantSplit/>
        </w:trPr>
        <w:tc>
          <w:tcPr>
            <w:tcW w:type="dxa" w:w="957"/>
            <w:vAlign w:val="top"/>
          </w:tcPr>
          <w:p>
            <w:pPr>
              <w:spacing w:after="80" w:before="60" w:line="276" w:lineRule="auto"/>
            </w:pPr>
            <w:r>
              <w:rPr>
                <w:sz w:val="18"/>
              </w:rPr>
              <w:t>中国台湾</w:t>
            </w:r>
          </w:p>
        </w:tc>
        <w:tc>
          <w:tcPr>
            <w:tcW w:type="dxa" w:w="4468"/>
            <w:vAlign w:val="top"/>
          </w:tcPr>
          <w:p>
            <w:pPr>
              <w:spacing w:after="80" w:before="60" w:line="276" w:lineRule="auto"/>
            </w:pPr>
            <w:r>
              <w:rPr>
                <w:sz w:val="18"/>
              </w:rPr>
              <w:t>GlobalWafers：抛光、外延、退火、SOI、化合物晶圆与硅锭等产品线</w:t>
            </w:r>
          </w:p>
        </w:tc>
        <w:tc>
          <w:tcPr>
            <w:tcW w:type="dxa" w:w="4468"/>
            <w:vAlign w:val="top"/>
          </w:tcPr>
          <w:p>
            <w:pPr>
              <w:spacing w:after="80" w:before="60" w:line="276" w:lineRule="auto"/>
            </w:pPr>
            <w:r>
              <w:rPr>
                <w:sz w:val="18"/>
              </w:rPr>
              <w:t>台湾公司有全球生产布局；具体晶圆工厂、尺寸和客户认证须逐项核实。</w:t>
            </w:r>
            <w:hyperlink r:id="rId261">
              <w:r>
                <w:rPr>
                  <w:color w:val="4338CA"/>
                </w:rPr>
                <w:t>[F065]</w:t>
              </w:r>
            </w:hyperlink>
          </w:p>
        </w:tc>
      </w:tr>
      <w:tr>
        <w:trPr>
          <w:cantSplit/>
        </w:trPr>
        <w:tc>
          <w:tcPr>
            <w:tcW w:type="dxa" w:w="957"/>
            <w:vAlign w:val="top"/>
          </w:tcPr>
          <w:p>
            <w:pPr>
              <w:spacing w:after="80" w:before="60" w:line="276" w:lineRule="auto"/>
            </w:pPr>
            <w:r>
              <w:rPr>
                <w:sz w:val="18"/>
              </w:rPr>
              <w:t>日本</w:t>
            </w:r>
          </w:p>
        </w:tc>
        <w:tc>
          <w:tcPr>
            <w:tcW w:type="dxa" w:w="4468"/>
            <w:vAlign w:val="top"/>
          </w:tcPr>
          <w:p>
            <w:pPr>
              <w:spacing w:after="80" w:before="60" w:line="276" w:lineRule="auto"/>
            </w:pPr>
            <w:r>
              <w:rPr>
                <w:sz w:val="18"/>
              </w:rPr>
              <w:t>SUMCO：抛光/外延/退火/SOI/再生晶圆；信越：掩模 blanks</w:t>
            </w:r>
          </w:p>
        </w:tc>
        <w:tc>
          <w:tcPr>
            <w:tcW w:type="dxa" w:w="4468"/>
            <w:vAlign w:val="top"/>
          </w:tcPr>
          <w:p>
            <w:pPr>
              <w:spacing w:after="80" w:before="60" w:line="276" w:lineRule="auto"/>
            </w:pPr>
            <w:r>
              <w:rPr>
                <w:sz w:val="18"/>
              </w:rPr>
              <w:t>晶圆厂家与掩模材料厂家存在不同壁垒，不能合并为“硅材料份额”。</w:t>
            </w:r>
            <w:hyperlink r:id="rId245">
              <w:r>
                <w:rPr>
                  <w:color w:val="4338CA"/>
                </w:rPr>
                <w:t>[F066]</w:t>
              </w:r>
            </w:hyperlink>
            <w:hyperlink r:id="rId217">
              <w:r>
                <w:rPr>
                  <w:color w:val="4338CA"/>
                </w:rPr>
                <w:t>[F020]</w:t>
              </w:r>
            </w:hyperlink>
          </w:p>
        </w:tc>
      </w:tr>
      <w:tr>
        <w:trPr>
          <w:cantSplit/>
        </w:trPr>
        <w:tc>
          <w:tcPr>
            <w:tcW w:type="dxa" w:w="957"/>
            <w:vAlign w:val="top"/>
          </w:tcPr>
          <w:p>
            <w:pPr>
              <w:spacing w:after="80" w:before="60" w:line="276" w:lineRule="auto"/>
            </w:pPr>
            <w:r>
              <w:rPr>
                <w:sz w:val="18"/>
              </w:rPr>
              <w:t>日本</w:t>
            </w:r>
          </w:p>
        </w:tc>
        <w:tc>
          <w:tcPr>
            <w:tcW w:type="dxa" w:w="4468"/>
            <w:vAlign w:val="top"/>
          </w:tcPr>
          <w:p>
            <w:pPr>
              <w:spacing w:after="80" w:before="60" w:line="276" w:lineRule="auto"/>
            </w:pPr>
            <w:r>
              <w:rPr>
                <w:sz w:val="18"/>
              </w:rPr>
              <w:t>TOK：g/i/KrF/ArF/EUV 光刻胶及配套材料</w:t>
            </w:r>
          </w:p>
        </w:tc>
        <w:tc>
          <w:tcPr>
            <w:tcW w:type="dxa" w:w="4468"/>
            <w:vAlign w:val="top"/>
          </w:tcPr>
          <w:p>
            <w:pPr>
              <w:spacing w:after="80" w:before="60" w:line="276" w:lineRule="auto"/>
            </w:pPr>
            <w:r>
              <w:rPr>
                <w:sz w:val="18"/>
              </w:rPr>
              <w:t>每个光源、胶种、分辨率、客户的认证独立；总光刻胶规模不等于 EUV 规模。</w:t>
            </w:r>
            <w:hyperlink r:id="rId209">
              <w:r>
                <w:rPr>
                  <w:color w:val="4338CA"/>
                </w:rPr>
                <w:t>[F044]</w:t>
              </w:r>
            </w:hyperlink>
          </w:p>
        </w:tc>
      </w:tr>
      <w:tr>
        <w:trPr>
          <w:cantSplit/>
        </w:trPr>
        <w:tc>
          <w:tcPr>
            <w:tcW w:type="dxa" w:w="957"/>
            <w:vAlign w:val="top"/>
          </w:tcPr>
          <w:p>
            <w:pPr>
              <w:spacing w:after="80" w:before="60" w:line="276" w:lineRule="auto"/>
            </w:pPr>
            <w:r>
              <w:rPr>
                <w:sz w:val="18"/>
              </w:rPr>
              <w:t>日本</w:t>
            </w:r>
          </w:p>
        </w:tc>
        <w:tc>
          <w:tcPr>
            <w:tcW w:type="dxa" w:w="4468"/>
            <w:vAlign w:val="top"/>
          </w:tcPr>
          <w:p>
            <w:pPr>
              <w:spacing w:after="80" w:before="60" w:line="276" w:lineRule="auto"/>
            </w:pPr>
            <w:r>
              <w:rPr>
                <w:sz w:val="18"/>
              </w:rPr>
              <w:t>JX Advanced Metals：半导体金属靶材/高纯材料；味之素：ABF；三菱瓦斯化学：BT；住友电木：封装模塑材料</w:t>
            </w:r>
          </w:p>
        </w:tc>
        <w:tc>
          <w:tcPr>
            <w:tcW w:type="dxa" w:w="4468"/>
            <w:vAlign w:val="top"/>
          </w:tcPr>
          <w:p>
            <w:pPr>
              <w:spacing w:after="80" w:before="60" w:line="276" w:lineRule="auto"/>
            </w:pPr>
            <w:r>
              <w:rPr>
                <w:sz w:val="18"/>
              </w:rPr>
              <w:t>金属纯化、精密靶材、绝缘膜和模封配方应分产品研究。</w:t>
            </w:r>
            <w:hyperlink r:id="rId248">
              <w:r>
                <w:rPr>
                  <w:color w:val="4338CA"/>
                </w:rPr>
                <w:t>[F022]</w:t>
              </w:r>
            </w:hyperlink>
            <w:hyperlink r:id="rId241">
              <w:r>
                <w:rPr>
                  <w:color w:val="4338CA"/>
                </w:rPr>
                <w:t>[F024]</w:t>
              </w:r>
            </w:hyperlink>
            <w:hyperlink r:id="rId252">
              <w:r>
                <w:rPr>
                  <w:color w:val="4338CA"/>
                </w:rPr>
                <w:t>[F046]</w:t>
              </w:r>
            </w:hyperlink>
            <w:hyperlink r:id="rId255">
              <w:r>
                <w:rPr>
                  <w:color w:val="4338CA"/>
                </w:rPr>
                <w:t>[F056]</w:t>
              </w:r>
            </w:hyperlink>
          </w:p>
        </w:tc>
      </w:tr>
      <w:tr>
        <w:trPr>
          <w:cantSplit/>
        </w:trPr>
        <w:tc>
          <w:tcPr>
            <w:tcW w:type="dxa" w:w="957"/>
            <w:vAlign w:val="top"/>
          </w:tcPr>
          <w:p>
            <w:pPr>
              <w:spacing w:after="80" w:before="60" w:line="276" w:lineRule="auto"/>
            </w:pPr>
            <w:r>
              <w:rPr>
                <w:sz w:val="18"/>
              </w:rPr>
              <w:t>日本及全球网络</w:t>
            </w:r>
          </w:p>
        </w:tc>
        <w:tc>
          <w:tcPr>
            <w:tcW w:type="dxa" w:w="4468"/>
            <w:vAlign w:val="top"/>
          </w:tcPr>
          <w:p>
            <w:pPr>
              <w:spacing w:after="80" w:before="60" w:line="276" w:lineRule="auto"/>
            </w:pPr>
            <w:r>
              <w:rPr>
                <w:sz w:val="18"/>
              </w:rPr>
              <w:t>Ferrotec：石英、先进陶瓷、CVD-SiC 零件等</w:t>
            </w:r>
          </w:p>
        </w:tc>
        <w:tc>
          <w:tcPr>
            <w:tcW w:type="dxa" w:w="4468"/>
            <w:vAlign w:val="top"/>
          </w:tcPr>
          <w:p>
            <w:pPr>
              <w:spacing w:after="80" w:before="60" w:line="276" w:lineRule="auto"/>
            </w:pPr>
            <w:r>
              <w:rPr>
                <w:sz w:val="18"/>
              </w:rPr>
              <w:t>设备耗材不留在芯片里；收入随装机、开工、工艺腐蚀及替换周期变化。</w:t>
            </w:r>
            <w:hyperlink r:id="rId243">
              <w:r>
                <w:rPr>
                  <w:color w:val="4338CA"/>
                </w:rPr>
                <w:t>[F068]</w:t>
              </w:r>
            </w:hyperlink>
          </w:p>
        </w:tc>
      </w:tr>
      <w:tr>
        <w:trPr>
          <w:cantSplit/>
        </w:trPr>
        <w:tc>
          <w:tcPr>
            <w:tcW w:type="dxa" w:w="957"/>
            <w:vAlign w:val="top"/>
          </w:tcPr>
          <w:p>
            <w:pPr>
              <w:spacing w:after="80" w:before="60" w:line="276" w:lineRule="auto"/>
            </w:pPr>
            <w:r>
              <w:rPr>
                <w:sz w:val="18"/>
              </w:rPr>
              <w:t>韩国</w:t>
            </w:r>
          </w:p>
        </w:tc>
        <w:tc>
          <w:tcPr>
            <w:tcW w:type="dxa" w:w="4468"/>
            <w:vAlign w:val="top"/>
          </w:tcPr>
          <w:p>
            <w:pPr>
              <w:spacing w:after="80" w:before="60" w:line="276" w:lineRule="auto"/>
            </w:pPr>
            <w:r>
              <w:rPr>
                <w:sz w:val="18"/>
              </w:rPr>
              <w:t>SK 特气/材料产品体系：WF₆、SiH₄、Si₂H₆、DCS 等沉积气体</w:t>
            </w:r>
          </w:p>
        </w:tc>
        <w:tc>
          <w:tcPr>
            <w:tcW w:type="dxa" w:w="4468"/>
            <w:vAlign w:val="top"/>
          </w:tcPr>
          <w:p>
            <w:pPr>
              <w:spacing w:after="80" w:before="60" w:line="276" w:lineRule="auto"/>
            </w:pPr>
            <w:r>
              <w:rPr>
                <w:sz w:val="18"/>
              </w:rPr>
              <w:t>此处确认化学产品能力；集团内实体、品牌及持股变更需在交易研究时重验，不在本表作集团估值归属。</w:t>
            </w:r>
            <w:hyperlink r:id="rId250">
              <w:r>
                <w:rPr>
                  <w:color w:val="4338CA"/>
                </w:rPr>
                <w:t>[F045]</w:t>
              </w:r>
            </w:hyperlink>
          </w:p>
        </w:tc>
      </w:tr>
      <w:tr>
        <w:trPr>
          <w:cantSplit/>
        </w:trPr>
        <w:tc>
          <w:tcPr>
            <w:tcW w:type="dxa" w:w="957"/>
            <w:vAlign w:val="top"/>
          </w:tcPr>
          <w:p>
            <w:pPr>
              <w:spacing w:after="80" w:before="60" w:line="276" w:lineRule="auto"/>
            </w:pPr>
            <w:r>
              <w:rPr>
                <w:sz w:val="18"/>
              </w:rPr>
              <w:t>德国</w:t>
            </w:r>
          </w:p>
        </w:tc>
        <w:tc>
          <w:tcPr>
            <w:tcW w:type="dxa" w:w="4468"/>
            <w:vAlign w:val="top"/>
          </w:tcPr>
          <w:p>
            <w:pPr>
              <w:spacing w:after="80" w:before="60" w:line="276" w:lineRule="auto"/>
            </w:pPr>
            <w:r>
              <w:rPr>
                <w:sz w:val="18"/>
              </w:rPr>
              <w:t>Siltronic：硅晶圆及外延片；Wacker：电子级多晶硅</w:t>
            </w:r>
          </w:p>
        </w:tc>
        <w:tc>
          <w:tcPr>
            <w:tcW w:type="dxa" w:w="4468"/>
            <w:vAlign w:val="top"/>
          </w:tcPr>
          <w:p>
            <w:pPr>
              <w:spacing w:after="80" w:before="60" w:line="276" w:lineRule="auto"/>
            </w:pPr>
            <w:r>
              <w:rPr>
                <w:sz w:val="18"/>
              </w:rPr>
              <w:t>前者是晶圆、后者是上游高纯材料；合并产能会重复计算供应链。</w:t>
            </w:r>
            <w:hyperlink r:id="rId205">
              <w:r>
                <w:rPr>
                  <w:color w:val="4338CA"/>
                </w:rPr>
                <w:t>[F019]</w:t>
              </w:r>
            </w:hyperlink>
            <w:hyperlink r:id="rId244">
              <w:r>
                <w:rPr>
                  <w:color w:val="4338CA"/>
                </w:rPr>
                <w:t>[F061]</w:t>
              </w:r>
            </w:hyperlink>
          </w:p>
        </w:tc>
      </w:tr>
      <w:tr>
        <w:trPr>
          <w:cantSplit/>
        </w:trPr>
        <w:tc>
          <w:tcPr>
            <w:tcW w:type="dxa" w:w="957"/>
            <w:vAlign w:val="top"/>
          </w:tcPr>
          <w:p>
            <w:pPr>
              <w:spacing w:after="80" w:before="60" w:line="276" w:lineRule="auto"/>
            </w:pPr>
            <w:r>
              <w:rPr>
                <w:sz w:val="18"/>
              </w:rPr>
              <w:t>法国</w:t>
            </w:r>
          </w:p>
        </w:tc>
        <w:tc>
          <w:tcPr>
            <w:tcW w:type="dxa" w:w="4468"/>
            <w:vAlign w:val="top"/>
          </w:tcPr>
          <w:p>
            <w:pPr>
              <w:spacing w:after="80" w:before="60" w:line="276" w:lineRule="auto"/>
            </w:pPr>
            <w:r>
              <w:rPr>
                <w:sz w:val="18"/>
              </w:rPr>
              <w:t>Air Liquide：高纯气体、前驱体和刻蚀材料；Soitec：Photonics-SOI</w:t>
            </w:r>
          </w:p>
        </w:tc>
        <w:tc>
          <w:tcPr>
            <w:tcW w:type="dxa" w:w="4468"/>
            <w:vAlign w:val="top"/>
          </w:tcPr>
          <w:p>
            <w:pPr>
              <w:spacing w:after="80" w:before="60" w:line="276" w:lineRule="auto"/>
            </w:pPr>
            <w:r>
              <w:rPr>
                <w:sz w:val="18"/>
              </w:rPr>
              <w:t>气体厂与晶圆平台价值链不同；现场供气合约和罐装先进材料业务亦不同。</w:t>
            </w:r>
            <w:hyperlink r:id="rId249">
              <w:r>
                <w:rPr>
                  <w:color w:val="4338CA"/>
                </w:rPr>
                <w:t>[F021]</w:t>
              </w:r>
            </w:hyperlink>
            <w:hyperlink r:id="rId246">
              <w:r>
                <w:rPr>
                  <w:color w:val="4338CA"/>
                </w:rPr>
                <w:t>[F050]</w:t>
              </w:r>
            </w:hyperlink>
          </w:p>
        </w:tc>
      </w:tr>
      <w:tr>
        <w:trPr>
          <w:cantSplit/>
        </w:trPr>
        <w:tc>
          <w:tcPr>
            <w:tcW w:type="dxa" w:w="957"/>
            <w:vAlign w:val="top"/>
          </w:tcPr>
          <w:p>
            <w:pPr>
              <w:spacing w:after="80" w:before="60" w:line="276" w:lineRule="auto"/>
            </w:pPr>
            <w:r>
              <w:rPr>
                <w:sz w:val="18"/>
              </w:rPr>
              <w:t>欧洲及全球网络</w:t>
            </w:r>
          </w:p>
        </w:tc>
        <w:tc>
          <w:tcPr>
            <w:tcW w:type="dxa" w:w="4468"/>
            <w:vAlign w:val="top"/>
          </w:tcPr>
          <w:p>
            <w:pPr>
              <w:spacing w:after="80" w:before="60" w:line="276" w:lineRule="auto"/>
            </w:pPr>
            <w:r>
              <w:rPr>
                <w:sz w:val="18"/>
              </w:rPr>
              <w:t>Henkel：底填、封装与热界面材料；Element Six：CVD 金刚石/Cu-diamond</w:t>
            </w:r>
          </w:p>
        </w:tc>
        <w:tc>
          <w:tcPr>
            <w:tcW w:type="dxa" w:w="4468"/>
            <w:vAlign w:val="top"/>
          </w:tcPr>
          <w:p>
            <w:pPr>
              <w:spacing w:after="80" w:before="60" w:line="276" w:lineRule="auto"/>
            </w:pPr>
            <w:r>
              <w:rPr>
                <w:sz w:val="18"/>
              </w:rPr>
              <w:t>关注实际组件认证、长期可靠性和规模产能，材料优异物性本身不能证明商业优势。</w:t>
            </w:r>
            <w:hyperlink r:id="rId254">
              <w:r>
                <w:rPr>
                  <w:color w:val="4338CA"/>
                </w:rPr>
                <w:t>[F055]</w:t>
              </w:r>
            </w:hyperlink>
            <w:hyperlink r:id="rId257">
              <w:r>
                <w:rPr>
                  <w:color w:val="4338CA"/>
                </w:rPr>
                <w:t>[F052]</w:t>
              </w:r>
            </w:hyperlink>
          </w:p>
        </w:tc>
      </w:tr>
    </w:tbl>
    <w:p>
      <w:pPr>
        <w:spacing w:after="0"/>
      </w:pPr>
    </w:p>
    <w:p>
      <w:pPr>
        <w:pStyle w:val="Heading2"/>
      </w:pPr>
      <w:r>
        <w:t>不应把“材料纯度”压成一个数字</w:t>
      </w:r>
    </w:p>
    <w:p>
      <w:pPr/>
      <w:r>
        <w:t>研究时应把化学纯度、金属/颗粒污染、包装/输运、稳定供货和工艺相容性分开。Air Liquide 的先进材料方案同时包括分子、合格输运系统、超纯容器及严格批次规格；Entegris 提供从配方到过滤和监控的 CMP 组合。推论：小比例杂质、容器析出或颗粒，可能比材料主成分是否达到某个“几个九”更能解释客户更换困难。</w:t>
      </w:r>
      <w:hyperlink r:id="rId249">
        <w:r>
          <w:rPr>
            <w:color w:val="4338CA"/>
          </w:rPr>
          <w:t>[F021]</w:t>
        </w:r>
      </w:hyperlink>
      <w:hyperlink r:id="rId212">
        <w:r>
          <w:rPr>
            <w:color w:val="4338CA"/>
          </w:rPr>
          <w:t>[F023]</w:t>
        </w:r>
      </w:hyperlink>
    </w:p>
    <w:p>
      <w:pPr>
        <w:pStyle w:val="Heading2"/>
      </w:pPr>
      <w:r>
        <w:t>三类可证伪的产业假设</w:t>
      </w:r>
    </w:p>
    <w:p>
      <w:pPr/>
      <w:r>
        <w:rPr>
          <w:b/>
        </w:rPr>
        <w:t>工艺强度增加。</w:t>
      </w:r>
      <w:r>
        <w:t xml:space="preserve"> 假设：更多三维表面/更复杂界面提高每片晶圆的材料消耗或价值量。验证：按客户节点、层数和具体工序看销量与单价，确认增长来自用量、份额还是涨价；反例：膜变薄、工艺整合、效率改善或替代分子降低消耗。此为研究假设，源于 ALD/叠层工艺的结构需求。</w:t>
      </w:r>
      <w:hyperlink r:id="rId53">
        <w:r>
          <w:rPr>
            <w:color w:val="4338CA"/>
          </w:rPr>
          <w:t>[F005]</w:t>
        </w:r>
      </w:hyperlink>
      <w:hyperlink r:id="rId50">
        <w:r>
          <w:rPr>
            <w:color w:val="4338CA"/>
          </w:rPr>
          <w:t>[F007]</w:t>
        </w:r>
      </w:hyperlink>
    </w:p>
    <w:p>
      <w:pPr/>
      <w:r>
        <w:rPr>
          <w:b/>
        </w:rPr>
        <w:t>认证带来粘性。</w:t>
      </w:r>
      <w:r>
        <w:t xml:space="preserve"> 假设：材料变更牵动前后工序和可靠性验证，支持稳定份额。验证：重复订单、返利后价格、客户集中度、新厂复制和新代产品胜率；反例：第二来源认证完成、配方专利到期或客户垂直整合。不能把客户名单当长期定价权。</w:t>
      </w:r>
      <w:hyperlink r:id="rId239">
        <w:r>
          <w:rPr>
            <w:color w:val="4338CA"/>
          </w:rPr>
          <w:t>[F058]</w:t>
        </w:r>
      </w:hyperlink>
      <w:hyperlink r:id="rId251">
        <w:r>
          <w:rPr>
            <w:color w:val="4338CA"/>
          </w:rPr>
          <w:t>[F043]</w:t>
        </w:r>
      </w:hyperlink>
    </w:p>
    <w:p>
      <w:pPr/>
      <w:r>
        <w:rPr>
          <w:b/>
        </w:rPr>
        <w:t>新材料带来新价值池。</w:t>
      </w:r>
      <w:r>
        <w:t xml:space="preserve"> 假设：玻璃、金刚石、高导热 SiC 为热与尺寸问题创造增量需求。验证：先看测试载具→送样→认证→量产→回款的阶段推进，再看单位成本和生命周期可靠性。反例：已有铜/有机基板方案继续改善，或界面/加工成本抵消物性优势。Intel 的玻璃展示、Coherent 的 SiC 送样与材料商目录不应被合并成“已形成成熟市场”。</w:t>
      </w:r>
      <w:hyperlink r:id="rId256">
        <w:r>
          <w:rPr>
            <w:color w:val="4338CA"/>
          </w:rPr>
          <w:t>[F025]</w:t>
        </w:r>
      </w:hyperlink>
      <w:hyperlink r:id="rId258">
        <w:r>
          <w:rPr>
            <w:color w:val="4338CA"/>
          </w:rPr>
          <w:t>[F064]</w:t>
        </w:r>
      </w:hyperlink>
      <w:hyperlink r:id="rId257">
        <w:r>
          <w:rPr>
            <w:color w:val="4338CA"/>
          </w:rPr>
          <w:t>[F052]</w:t>
        </w:r>
      </w:hyperlink>
    </w:p>
    <w:p>
      <w:pPr>
        <w:pStyle w:val="Heading1"/>
        <w:pageBreakBefore/>
      </w:pPr>
      <w:r>
        <w:t>07  先进封装与电测试 系统性能的另一半</w:t>
      </w:r>
    </w:p>
    <w:p>
      <w:pPr>
        <w:pStyle w:val="Heading2"/>
      </w:pPr>
      <w:r>
        <w:t>先读连接拓扑 再读封装品牌</w:t>
      </w:r>
    </w:p>
    <w:p>
      <w:pPr/>
      <w:r>
        <w:t>2.5D 通常把逻辑和 HBM 等裸片并排连接在高密度互连结构上；3D 则把裸片/晶圆垂直连接。一个产品可同时包含两种拓扑。TSMC SoIC 形成的三维堆叠还可进入 CoWoS 等封装，因此 SoIC 和 CoWoS 并非简单二选一。</w:t>
      </w:r>
      <w:hyperlink r:id="rId265">
        <w:r>
          <w:rPr>
            <w:color w:val="4338CA"/>
          </w:rPr>
          <w:t>[F026]</w:t>
        </w:r>
      </w:hyperlink>
      <w:hyperlink r:id="rId266">
        <w:r>
          <w:rPr>
            <w:color w:val="4338CA"/>
          </w:rPr>
          <w:t>[F027]</w:t>
        </w:r>
      </w:hyperlink>
    </w:p>
    <w:tbl>
      <w:tblPr>
        <w:tblW w:type="auto" w:w="0"/>
        <w:jc w:val="center"/>
        <w:tblLayout w:type="fixed"/>
        <w:tblLook w:firstColumn="1" w:firstRow="1" w:lastColumn="0" w:lastRow="0" w:noHBand="0" w:noVBand="1" w:val="04A0"/>
      </w:tblPr>
      <w:tblGrid>
        <w:gridCol w:w="1475"/>
        <w:gridCol w:w="3121"/>
        <w:gridCol w:w="5296"/>
      </w:tblGrid>
      <w:tr>
        <w:trPr>
          <w:tblHeader/>
        </w:trPr>
        <w:tc>
          <w:tcPr>
            <w:tcW w:type="dxa" w:w="1475"/>
            <w:vAlign w:val="top"/>
            <w:shd w:fill="E0E7FF"/>
          </w:tcPr>
          <w:p>
            <w:pPr>
              <w:spacing w:after="80" w:before="60" w:line="276" w:lineRule="auto"/>
            </w:pPr>
            <w:r>
              <w:rPr>
                <w:b/>
                <w:sz w:val="18"/>
              </w:rPr>
              <w:t>技术/结构</w:t>
            </w:r>
          </w:p>
        </w:tc>
        <w:tc>
          <w:tcPr>
            <w:tcW w:type="dxa" w:w="3121"/>
            <w:vAlign w:val="top"/>
            <w:shd w:fill="E0E7FF"/>
          </w:tcPr>
          <w:p>
            <w:pPr>
              <w:spacing w:after="80" w:before="60" w:line="276" w:lineRule="auto"/>
            </w:pPr>
            <w:r>
              <w:rPr>
                <w:b/>
                <w:sz w:val="18"/>
              </w:rPr>
              <w:t>如何连接</w:t>
            </w:r>
          </w:p>
        </w:tc>
        <w:tc>
          <w:tcPr>
            <w:tcW w:type="dxa" w:w="5296"/>
            <w:vAlign w:val="top"/>
            <w:shd w:fill="E0E7FF"/>
          </w:tcPr>
          <w:p>
            <w:pPr>
              <w:spacing w:after="80" w:before="60" w:line="276" w:lineRule="auto"/>
            </w:pPr>
            <w:r>
              <w:rPr>
                <w:b/>
                <w:sz w:val="18"/>
              </w:rPr>
              <w:t>产业分工与边界</w:t>
            </w:r>
          </w:p>
        </w:tc>
      </w:tr>
      <w:tr>
        <w:trPr>
          <w:cantSplit/>
        </w:trPr>
        <w:tc>
          <w:tcPr>
            <w:tcW w:type="dxa" w:w="1475"/>
            <w:vAlign w:val="top"/>
          </w:tcPr>
          <w:p>
            <w:pPr>
              <w:spacing w:after="80" w:before="60" w:line="276" w:lineRule="auto"/>
            </w:pPr>
            <w:r>
              <w:rPr>
                <w:sz w:val="18"/>
              </w:rPr>
              <w:t>CoWoS-S</w:t>
            </w:r>
          </w:p>
        </w:tc>
        <w:tc>
          <w:tcPr>
            <w:tcW w:type="dxa" w:w="3121"/>
            <w:vAlign w:val="top"/>
          </w:tcPr>
          <w:p>
            <w:pPr>
              <w:spacing w:after="80" w:before="60" w:line="276" w:lineRule="auto"/>
            </w:pPr>
            <w:r>
              <w:rPr>
                <w:sz w:val="18"/>
              </w:rPr>
              <w:t>大面积硅中介层连接逻辑/HBM 等裸片</w:t>
            </w:r>
          </w:p>
        </w:tc>
        <w:tc>
          <w:tcPr>
            <w:tcW w:type="dxa" w:w="5296"/>
            <w:vAlign w:val="top"/>
          </w:tcPr>
          <w:p>
            <w:pPr>
              <w:spacing w:after="80" w:before="60" w:line="276" w:lineRule="auto"/>
            </w:pPr>
            <w:r>
              <w:rPr>
                <w:sz w:val="18"/>
              </w:rPr>
              <w:t>高密度横向互连；不能把中介层面积、封装尺寸与芯片有效硅面积混用。</w:t>
            </w:r>
            <w:hyperlink r:id="rId266">
              <w:r>
                <w:rPr>
                  <w:color w:val="4338CA"/>
                </w:rPr>
                <w:t>[F027]</w:t>
              </w:r>
            </w:hyperlink>
          </w:p>
        </w:tc>
      </w:tr>
      <w:tr>
        <w:trPr>
          <w:cantSplit/>
        </w:trPr>
        <w:tc>
          <w:tcPr>
            <w:tcW w:type="dxa" w:w="1475"/>
            <w:vAlign w:val="top"/>
          </w:tcPr>
          <w:p>
            <w:pPr>
              <w:spacing w:after="80" w:before="60" w:line="276" w:lineRule="auto"/>
            </w:pPr>
            <w:r>
              <w:rPr>
                <w:sz w:val="18"/>
              </w:rPr>
              <w:t>CoWoS-R</w:t>
            </w:r>
          </w:p>
        </w:tc>
        <w:tc>
          <w:tcPr>
            <w:tcW w:type="dxa" w:w="3121"/>
            <w:vAlign w:val="top"/>
          </w:tcPr>
          <w:p>
            <w:pPr>
              <w:spacing w:after="80" w:before="60" w:line="276" w:lineRule="auto"/>
            </w:pPr>
            <w:r>
              <w:rPr>
                <w:sz w:val="18"/>
              </w:rPr>
              <w:t>聚合物与铜 RDL 中介层</w:t>
            </w:r>
          </w:p>
        </w:tc>
        <w:tc>
          <w:tcPr>
            <w:tcW w:type="dxa" w:w="5296"/>
            <w:vAlign w:val="top"/>
          </w:tcPr>
          <w:p>
            <w:pPr>
              <w:spacing w:after="80" w:before="60" w:line="276" w:lineRule="auto"/>
            </w:pPr>
            <w:r>
              <w:rPr>
                <w:sz w:val="18"/>
              </w:rPr>
              <w:t>TSMC 官网注明 2023 年起量产；与硅中介层在工艺、布线和机械性质上不同。</w:t>
            </w:r>
            <w:hyperlink r:id="rId266">
              <w:r>
                <w:rPr>
                  <w:color w:val="4338CA"/>
                </w:rPr>
                <w:t>[F027]</w:t>
              </w:r>
            </w:hyperlink>
          </w:p>
        </w:tc>
      </w:tr>
      <w:tr>
        <w:trPr>
          <w:cantSplit/>
        </w:trPr>
        <w:tc>
          <w:tcPr>
            <w:tcW w:type="dxa" w:w="1475"/>
            <w:vAlign w:val="top"/>
          </w:tcPr>
          <w:p>
            <w:pPr>
              <w:spacing w:after="80" w:before="60" w:line="276" w:lineRule="auto"/>
            </w:pPr>
            <w:r>
              <w:rPr>
                <w:sz w:val="18"/>
              </w:rPr>
              <w:t>CoWoS-L</w:t>
            </w:r>
          </w:p>
        </w:tc>
        <w:tc>
          <w:tcPr>
            <w:tcW w:type="dxa" w:w="3121"/>
            <w:vAlign w:val="top"/>
          </w:tcPr>
          <w:p>
            <w:pPr>
              <w:spacing w:after="80" w:before="60" w:line="276" w:lineRule="auto"/>
            </w:pPr>
            <w:r>
              <w:rPr>
                <w:sz w:val="18"/>
              </w:rPr>
              <w:t>RDL 为基础，局部嵌入高密度硅互连等结构</w:t>
            </w:r>
          </w:p>
        </w:tc>
        <w:tc>
          <w:tcPr>
            <w:tcW w:type="dxa" w:w="5296"/>
            <w:vAlign w:val="top"/>
          </w:tcPr>
          <w:p>
            <w:pPr>
              <w:spacing w:after="80" w:before="60" w:line="276" w:lineRule="auto"/>
            </w:pPr>
            <w:r>
              <w:rPr>
                <w:sz w:val="18"/>
              </w:rPr>
              <w:t>官网注明首个 3.5 倍 reticle 尺寸产品 2024 年起量产；不是“整块超大硅中介层”的同义词。</w:t>
            </w:r>
            <w:hyperlink r:id="rId266">
              <w:r>
                <w:rPr>
                  <w:color w:val="4338CA"/>
                </w:rPr>
                <w:t>[F027]</w:t>
              </w:r>
            </w:hyperlink>
            <w:hyperlink r:id="rId267">
              <w:r>
                <w:rPr>
                  <w:color w:val="4338CA"/>
                </w:rPr>
                <w:t>[F063]</w:t>
              </w:r>
            </w:hyperlink>
          </w:p>
        </w:tc>
      </w:tr>
      <w:tr>
        <w:trPr>
          <w:cantSplit/>
        </w:trPr>
        <w:tc>
          <w:tcPr>
            <w:tcW w:type="dxa" w:w="1475"/>
            <w:vAlign w:val="top"/>
          </w:tcPr>
          <w:p>
            <w:pPr>
              <w:spacing w:after="80" w:before="60" w:line="276" w:lineRule="auto"/>
            </w:pPr>
            <w:r>
              <w:rPr>
                <w:sz w:val="18"/>
              </w:rPr>
              <w:t>TSMC SoIC</w:t>
            </w:r>
          </w:p>
        </w:tc>
        <w:tc>
          <w:tcPr>
            <w:tcW w:type="dxa" w:w="3121"/>
            <w:vAlign w:val="top"/>
          </w:tcPr>
          <w:p>
            <w:pPr>
              <w:spacing w:after="80" w:before="60" w:line="276" w:lineRule="auto"/>
            </w:pPr>
            <w:r>
              <w:rPr>
                <w:sz w:val="18"/>
              </w:rPr>
              <w:t>晶圆级三维芯片堆叠，可 chip-on-wafer/wafer-on-wafer</w:t>
            </w:r>
          </w:p>
        </w:tc>
        <w:tc>
          <w:tcPr>
            <w:tcW w:type="dxa" w:w="5296"/>
            <w:vAlign w:val="top"/>
          </w:tcPr>
          <w:p>
            <w:pPr>
              <w:spacing w:after="80" w:before="60" w:line="276" w:lineRule="auto"/>
            </w:pPr>
            <w:r>
              <w:rPr>
                <w:sz w:val="18"/>
              </w:rPr>
              <w:t>选 KGD 的灵活性与同尺寸高良率晶圆堆叠适用性不同；不直接外推良率。</w:t>
            </w:r>
            <w:hyperlink r:id="rId265">
              <w:r>
                <w:rPr>
                  <w:color w:val="4338CA"/>
                </w:rPr>
                <w:t>[F026]</w:t>
              </w:r>
            </w:hyperlink>
          </w:p>
        </w:tc>
      </w:tr>
      <w:tr>
        <w:trPr>
          <w:cantSplit/>
        </w:trPr>
        <w:tc>
          <w:tcPr>
            <w:tcW w:type="dxa" w:w="1475"/>
            <w:vAlign w:val="top"/>
          </w:tcPr>
          <w:p>
            <w:pPr>
              <w:spacing w:after="80" w:before="60" w:line="276" w:lineRule="auto"/>
            </w:pPr>
            <w:r>
              <w:rPr>
                <w:sz w:val="18"/>
              </w:rPr>
              <w:t>Intel EMIB/Foveros</w:t>
            </w:r>
          </w:p>
        </w:tc>
        <w:tc>
          <w:tcPr>
            <w:tcW w:type="dxa" w:w="3121"/>
            <w:vAlign w:val="top"/>
          </w:tcPr>
          <w:p>
            <w:pPr>
              <w:spacing w:after="80" w:before="60" w:line="276" w:lineRule="auto"/>
            </w:pPr>
            <w:r>
              <w:rPr>
                <w:sz w:val="18"/>
              </w:rPr>
              <w:t>硅桥横向连接与垂直集成产品族</w:t>
            </w:r>
          </w:p>
        </w:tc>
        <w:tc>
          <w:tcPr>
            <w:tcW w:type="dxa" w:w="5296"/>
            <w:vAlign w:val="top"/>
          </w:tcPr>
          <w:p>
            <w:pPr>
              <w:spacing w:after="80" w:before="60" w:line="276" w:lineRule="auto"/>
            </w:pPr>
            <w:r>
              <w:rPr>
                <w:sz w:val="18"/>
              </w:rPr>
              <w:t>按具体代际区分 bridge、interposer、bump 与直接键合；公开路线图不等于每个尺寸已量产。</w:t>
            </w:r>
            <w:hyperlink r:id="rId268">
              <w:r>
                <w:rPr>
                  <w:color w:val="4338CA"/>
                </w:rPr>
                <w:t>[F028]</w:t>
              </w:r>
            </w:hyperlink>
          </w:p>
        </w:tc>
      </w:tr>
      <w:tr>
        <w:trPr>
          <w:cantSplit/>
        </w:trPr>
        <w:tc>
          <w:tcPr>
            <w:tcW w:type="dxa" w:w="1475"/>
            <w:vAlign w:val="top"/>
          </w:tcPr>
          <w:p>
            <w:pPr>
              <w:spacing w:after="80" w:before="60" w:line="276" w:lineRule="auto"/>
            </w:pPr>
            <w:r>
              <w:rPr>
                <w:sz w:val="18"/>
              </w:rPr>
              <w:t>Fan-out/RDL</w:t>
            </w:r>
          </w:p>
        </w:tc>
        <w:tc>
          <w:tcPr>
            <w:tcW w:type="dxa" w:w="3121"/>
            <w:vAlign w:val="top"/>
          </w:tcPr>
          <w:p>
            <w:pPr>
              <w:spacing w:after="80" w:before="60" w:line="276" w:lineRule="auto"/>
            </w:pPr>
            <w:r>
              <w:rPr>
                <w:sz w:val="18"/>
              </w:rPr>
              <w:t>重构晶圆或面板，在裸片外延伸布线</w:t>
            </w:r>
          </w:p>
        </w:tc>
        <w:tc>
          <w:tcPr>
            <w:tcW w:type="dxa" w:w="5296"/>
            <w:vAlign w:val="top"/>
          </w:tcPr>
          <w:p>
            <w:pPr>
              <w:spacing w:after="80" w:before="60" w:line="276" w:lineRule="auto"/>
            </w:pPr>
            <w:r>
              <w:rPr>
                <w:sz w:val="18"/>
              </w:rPr>
              <w:t>ASE VIPack、JCET XDFOI 有相应平台；须比较线宽间距、翘曲、芯片位移及批量良率。</w:t>
            </w:r>
            <w:hyperlink r:id="rId269">
              <w:r>
                <w:rPr>
                  <w:color w:val="4338CA"/>
                </w:rPr>
                <w:t>[F047]</w:t>
              </w:r>
            </w:hyperlink>
            <w:hyperlink r:id="rId270">
              <w:r>
                <w:rPr>
                  <w:color w:val="4338CA"/>
                </w:rPr>
                <w:t>[F049]</w:t>
              </w:r>
            </w:hyperlink>
          </w:p>
        </w:tc>
      </w:tr>
      <w:tr>
        <w:trPr>
          <w:cantSplit/>
        </w:trPr>
        <w:tc>
          <w:tcPr>
            <w:tcW w:type="dxa" w:w="1475"/>
            <w:vAlign w:val="top"/>
          </w:tcPr>
          <w:p>
            <w:pPr>
              <w:spacing w:after="80" w:before="60" w:line="276" w:lineRule="auto"/>
            </w:pPr>
            <w:r>
              <w:rPr>
                <w:sz w:val="18"/>
              </w:rPr>
              <w:t>TSV</w:t>
            </w:r>
          </w:p>
        </w:tc>
        <w:tc>
          <w:tcPr>
            <w:tcW w:type="dxa" w:w="3121"/>
            <w:vAlign w:val="top"/>
          </w:tcPr>
          <w:p>
            <w:pPr>
              <w:spacing w:after="80" w:before="60" w:line="276" w:lineRule="auto"/>
            </w:pPr>
            <w:r>
              <w:rPr>
                <w:sz w:val="18"/>
              </w:rPr>
              <w:t>穿过硅的垂直互连</w:t>
            </w:r>
          </w:p>
        </w:tc>
        <w:tc>
          <w:tcPr>
            <w:tcW w:type="dxa" w:w="5296"/>
            <w:vAlign w:val="top"/>
          </w:tcPr>
          <w:p>
            <w:pPr>
              <w:spacing w:after="80" w:before="60" w:line="276" w:lineRule="auto"/>
            </w:pPr>
            <w:r>
              <w:rPr>
                <w:sz w:val="18"/>
              </w:rPr>
              <w:t>TSV 形成、减薄露出及背面金属化可由不同厂商执行；Amkor 明确其所述流程从已有盲 TSV 晶圆开始，不提供 foundry 晶圆内 TSV 成孔。</w:t>
            </w:r>
            <w:hyperlink r:id="rId271">
              <w:r>
                <w:rPr>
                  <w:color w:val="4338CA"/>
                </w:rPr>
                <w:t>[F048]</w:t>
              </w:r>
            </w:hyperlink>
          </w:p>
        </w:tc>
      </w:tr>
      <w:tr>
        <w:trPr>
          <w:cantSplit/>
        </w:trPr>
        <w:tc>
          <w:tcPr>
            <w:tcW w:type="dxa" w:w="1475"/>
            <w:vAlign w:val="top"/>
          </w:tcPr>
          <w:p>
            <w:pPr>
              <w:spacing w:after="80" w:before="60" w:line="276" w:lineRule="auto"/>
            </w:pPr>
            <w:r>
              <w:rPr>
                <w:sz w:val="18"/>
              </w:rPr>
              <w:t>微凸点/TCB</w:t>
            </w:r>
          </w:p>
        </w:tc>
        <w:tc>
          <w:tcPr>
            <w:tcW w:type="dxa" w:w="3121"/>
            <w:vAlign w:val="top"/>
          </w:tcPr>
          <w:p>
            <w:pPr>
              <w:spacing w:after="80" w:before="60" w:line="276" w:lineRule="auto"/>
            </w:pPr>
            <w:r>
              <w:rPr>
                <w:sz w:val="18"/>
              </w:rPr>
              <w:t>在热、力和时间控制下接合微连接</w:t>
            </w:r>
          </w:p>
        </w:tc>
        <w:tc>
          <w:tcPr>
            <w:tcW w:type="dxa" w:w="5296"/>
            <w:vAlign w:val="top"/>
          </w:tcPr>
          <w:p>
            <w:pPr>
              <w:spacing w:after="80" w:before="60" w:line="276" w:lineRule="auto"/>
            </w:pPr>
            <w:r>
              <w:rPr>
                <w:sz w:val="18"/>
              </w:rPr>
              <w:t>在适合的 pitch、芯片厚度和材料体系使用；设备名称相同不证明工艺等价。</w:t>
            </w:r>
            <w:hyperlink r:id="rId272">
              <w:r>
                <w:rPr>
                  <w:color w:val="4338CA"/>
                </w:rPr>
                <w:t>[F030]</w:t>
              </w:r>
            </w:hyperlink>
            <w:hyperlink r:id="rId236">
              <w:r>
                <w:rPr>
                  <w:color w:val="4338CA"/>
                </w:rPr>
                <w:t>[F051]</w:t>
              </w:r>
            </w:hyperlink>
          </w:p>
        </w:tc>
      </w:tr>
      <w:tr>
        <w:trPr>
          <w:cantSplit/>
        </w:trPr>
        <w:tc>
          <w:tcPr>
            <w:tcW w:type="dxa" w:w="1475"/>
            <w:vAlign w:val="top"/>
          </w:tcPr>
          <w:p>
            <w:pPr>
              <w:spacing w:after="80" w:before="60" w:line="276" w:lineRule="auto"/>
            </w:pPr>
            <w:r>
              <w:rPr>
                <w:sz w:val="18"/>
              </w:rPr>
              <w:t>混合键合</w:t>
            </w:r>
          </w:p>
        </w:tc>
        <w:tc>
          <w:tcPr>
            <w:tcW w:type="dxa" w:w="3121"/>
            <w:vAlign w:val="top"/>
          </w:tcPr>
          <w:p>
            <w:pPr>
              <w:spacing w:after="80" w:before="60" w:line="276" w:lineRule="auto"/>
            </w:pPr>
            <w:r>
              <w:rPr>
                <w:sz w:val="18"/>
              </w:rPr>
              <w:t>介质直接键合与嵌入金属接点结合</w:t>
            </w:r>
          </w:p>
        </w:tc>
        <w:tc>
          <w:tcPr>
            <w:tcW w:type="dxa" w:w="5296"/>
            <w:vAlign w:val="top"/>
          </w:tcPr>
          <w:p>
            <w:pPr>
              <w:spacing w:after="80" w:before="60" w:line="276" w:lineRule="auto"/>
            </w:pPr>
            <w:r>
              <w:rPr>
                <w:sz w:val="18"/>
              </w:rPr>
              <w:t>需要表面处理、清洁、平坦度和精密放置的整体流程；不是高精度贴片机直接加一个功能。</w:t>
            </w:r>
            <w:hyperlink r:id="rId253">
              <w:r>
                <w:rPr>
                  <w:color w:val="4338CA"/>
                </w:rPr>
                <w:t>[F029]</w:t>
              </w:r>
            </w:hyperlink>
            <w:hyperlink r:id="rId239">
              <w:r>
                <w:rPr>
                  <w:color w:val="4338CA"/>
                </w:rPr>
                <w:t>[F058]</w:t>
              </w:r>
            </w:hyperlink>
          </w:p>
        </w:tc>
      </w:tr>
    </w:tbl>
    <w:p>
      <w:pPr>
        <w:spacing w:after="0"/>
      </w:pPr>
    </w:p>
    <w:p>
      <w:pPr>
        <w:pStyle w:val="Heading2"/>
      </w:pPr>
      <w:r>
        <w:t>一条典型先进封装链</w:t>
      </w:r>
    </w:p>
    <w:p>
      <w:pPr/>
      <w:r>
        <w:rPr>
          <w:b/>
        </w:rPr>
        <w:t>输入与筛选：</w:t>
      </w:r>
      <w:r>
        <w:t xml:space="preserve"> 晶圆探针测试取得电性地图→挑选已知良品裸片 KGD→与中介层/基底进行工艺和测试规划。KGD 指在既定覆盖、温度、电压条件下通过测试，不是“绝对无缺陷”；多裸片集成提高了前置筛选的经济价值。</w:t>
      </w:r>
      <w:hyperlink r:id="rId273">
        <w:r>
          <w:rPr>
            <w:color w:val="4338CA"/>
          </w:rPr>
          <w:t>[F034]</w:t>
        </w:r>
      </w:hyperlink>
      <w:hyperlink r:id="rId265">
        <w:r>
          <w:rPr>
            <w:color w:val="4338CA"/>
          </w:rPr>
          <w:t>[F026]</w:t>
        </w:r>
      </w:hyperlink>
    </w:p>
    <w:p>
      <w:pPr/>
      <w:r>
        <w:rPr>
          <w:b/>
        </w:rPr>
        <w:t>中介层与背面：</w:t>
      </w:r>
      <w:r>
        <w:t xml:space="preserve"> 按路线完成 TSV 相关加工、暂时键合承载、减薄、TSV 露出、钝化、CMP、背面 RDL 和铜柱/焊点。Amkor 公开流程提供了一个可核对的工艺边界实例：同样写“TSV 封装”，承包的工序范围可能不同。</w:t>
      </w:r>
      <w:hyperlink r:id="rId271">
        <w:r>
          <w:rPr>
            <w:color w:val="4338CA"/>
          </w:rPr>
          <w:t>[F048]</w:t>
        </w:r>
      </w:hyperlink>
    </w:p>
    <w:p>
      <w:pPr/>
      <w:r>
        <w:rPr>
          <w:b/>
        </w:rPr>
        <w:t>贴装和键合：</w:t>
      </w:r>
      <w:r>
        <w:t xml:space="preserve"> 分选、取片、对准、贴装；按选定技术执行 reflow/TCB/混合键合，随后进行底填或模封等保护。薄片裂纹、翘曲、污染和对准误差会耦合；芝浦的资料强调薄片拾取及热变形校正，EVG 则把清洗和载体处理列入整体开发。</w:t>
      </w:r>
      <w:hyperlink r:id="rId274">
        <w:r>
          <w:rPr>
            <w:color w:val="4338CA"/>
          </w:rPr>
          <w:t>[F073]</w:t>
        </w:r>
      </w:hyperlink>
      <w:hyperlink r:id="rId239">
        <w:r>
          <w:rPr>
            <w:color w:val="4338CA"/>
          </w:rPr>
          <w:t>[F058]</w:t>
        </w:r>
      </w:hyperlink>
    </w:p>
    <w:p>
      <w:pPr/>
      <w:r>
        <w:rPr>
          <w:b/>
        </w:rPr>
        <w:t>系统收尾：</w:t>
      </w:r>
      <w:r>
        <w:t xml:space="preserve"> 接入封装基板、散热结构与最终外部连接，进行电测、必要的 burn-in、SLT、可靠性筛选与失效分析。TSMC/Intel/OSAT 的平台、设备商的键合机、材料商的底填及基板厂的能力共同参与，不宜把所有收入都归入“先进封装设备”。</w:t>
      </w:r>
      <w:hyperlink r:id="rId268">
        <w:r>
          <w:rPr>
            <w:color w:val="4338CA"/>
          </w:rPr>
          <w:t>[F028]</w:t>
        </w:r>
      </w:hyperlink>
      <w:hyperlink r:id="rId235">
        <w:r>
          <w:rPr>
            <w:color w:val="4338CA"/>
          </w:rPr>
          <w:t>[F035]</w:t>
        </w:r>
      </w:hyperlink>
      <w:hyperlink r:id="rId254">
        <w:r>
          <w:rPr>
            <w:color w:val="4338CA"/>
          </w:rPr>
          <w:t>[F055]</w:t>
        </w:r>
      </w:hyperlink>
    </w:p>
    <w:p>
      <w:pPr>
        <w:pStyle w:val="Heading2"/>
      </w:pPr>
      <w:r>
        <w:t>公司地图 制造服务与卖设备分开</w:t>
      </w:r>
    </w:p>
    <w:tbl>
      <w:tblPr>
        <w:tblW w:type="auto" w:w="0"/>
        <w:jc w:val="center"/>
        <w:tblLayout w:type="fixed"/>
        <w:tblLook w:firstColumn="1" w:firstRow="1" w:lastColumn="0" w:lastRow="0" w:noHBand="0" w:noVBand="1" w:val="04A0"/>
      </w:tblPr>
      <w:tblGrid>
        <w:gridCol w:w="1254"/>
        <w:gridCol w:w="2787"/>
        <w:gridCol w:w="5852"/>
      </w:tblGrid>
      <w:tr>
        <w:trPr>
          <w:tblHeader/>
        </w:trPr>
        <w:tc>
          <w:tcPr>
            <w:tcW w:type="dxa" w:w="1254"/>
            <w:vAlign w:val="top"/>
            <w:shd w:fill="E0E7FF"/>
          </w:tcPr>
          <w:p>
            <w:pPr>
              <w:spacing w:after="80" w:before="60" w:line="276" w:lineRule="auto"/>
            </w:pPr>
            <w:r>
              <w:rPr>
                <w:b/>
                <w:sz w:val="18"/>
              </w:rPr>
              <w:t>层级</w:t>
            </w:r>
          </w:p>
        </w:tc>
        <w:tc>
          <w:tcPr>
            <w:tcW w:type="dxa" w:w="2787"/>
            <w:vAlign w:val="top"/>
            <w:shd w:fill="E0E7FF"/>
          </w:tcPr>
          <w:p>
            <w:pPr>
              <w:spacing w:after="80" w:before="60" w:line="276" w:lineRule="auto"/>
            </w:pPr>
            <w:r>
              <w:rPr>
                <w:b/>
                <w:sz w:val="18"/>
              </w:rPr>
              <w:t>代表性地区/公司</w:t>
            </w:r>
          </w:p>
        </w:tc>
        <w:tc>
          <w:tcPr>
            <w:tcW w:type="dxa" w:w="5852"/>
            <w:vAlign w:val="top"/>
            <w:shd w:fill="E0E7FF"/>
          </w:tcPr>
          <w:p>
            <w:pPr>
              <w:spacing w:after="80" w:before="60" w:line="276" w:lineRule="auto"/>
            </w:pPr>
            <w:r>
              <w:rPr>
                <w:b/>
                <w:sz w:val="18"/>
              </w:rPr>
              <w:t>可核实能力，及不能自动推出的结论</w:t>
            </w:r>
          </w:p>
        </w:tc>
      </w:tr>
      <w:tr>
        <w:trPr>
          <w:cantSplit/>
        </w:trPr>
        <w:tc>
          <w:tcPr>
            <w:tcW w:type="dxa" w:w="1254"/>
            <w:vAlign w:val="top"/>
          </w:tcPr>
          <w:p>
            <w:pPr>
              <w:spacing w:after="80" w:before="60" w:line="276" w:lineRule="auto"/>
            </w:pPr>
            <w:r>
              <w:rPr>
                <w:sz w:val="18"/>
              </w:rPr>
              <w:t>代工与集成平台</w:t>
            </w:r>
          </w:p>
        </w:tc>
        <w:tc>
          <w:tcPr>
            <w:tcW w:type="dxa" w:w="2787"/>
            <w:vAlign w:val="top"/>
          </w:tcPr>
          <w:p>
            <w:pPr>
              <w:spacing w:after="80" w:before="60" w:line="276" w:lineRule="auto"/>
            </w:pPr>
            <w:r>
              <w:rPr>
                <w:sz w:val="18"/>
              </w:rPr>
              <w:t>中国台湾 TSMC</w:t>
            </w:r>
          </w:p>
        </w:tc>
        <w:tc>
          <w:tcPr>
            <w:tcW w:type="dxa" w:w="5852"/>
            <w:vAlign w:val="top"/>
          </w:tcPr>
          <w:p>
            <w:pPr>
              <w:spacing w:after="80" w:before="60" w:line="276" w:lineRule="auto"/>
            </w:pPr>
            <w:r>
              <w:rPr>
                <w:sz w:val="18"/>
              </w:rPr>
              <w:t>SoIC、CoWoS 等；封装平台存在不代表第三方任意组合即可免验证迁移。</w:t>
            </w:r>
            <w:hyperlink r:id="rId265">
              <w:r>
                <w:rPr>
                  <w:color w:val="4338CA"/>
                </w:rPr>
                <w:t>[F026]</w:t>
              </w:r>
            </w:hyperlink>
            <w:hyperlink r:id="rId266">
              <w:r>
                <w:rPr>
                  <w:color w:val="4338CA"/>
                </w:rPr>
                <w:t>[F027]</w:t>
              </w:r>
            </w:hyperlink>
          </w:p>
        </w:tc>
      </w:tr>
      <w:tr>
        <w:trPr>
          <w:cantSplit/>
        </w:trPr>
        <w:tc>
          <w:tcPr>
            <w:tcW w:type="dxa" w:w="1254"/>
            <w:vAlign w:val="top"/>
          </w:tcPr>
          <w:p>
            <w:pPr>
              <w:spacing w:after="80" w:before="60" w:line="276" w:lineRule="auto"/>
            </w:pPr>
            <w:r>
              <w:rPr>
                <w:sz w:val="18"/>
              </w:rPr>
              <w:t>代工与集成平台</w:t>
            </w:r>
          </w:p>
        </w:tc>
        <w:tc>
          <w:tcPr>
            <w:tcW w:type="dxa" w:w="2787"/>
            <w:vAlign w:val="top"/>
          </w:tcPr>
          <w:p>
            <w:pPr>
              <w:spacing w:after="80" w:before="60" w:line="276" w:lineRule="auto"/>
            </w:pPr>
            <w:r>
              <w:rPr>
                <w:sz w:val="18"/>
              </w:rPr>
              <w:t>美国 Intel Foundry</w:t>
            </w:r>
          </w:p>
        </w:tc>
        <w:tc>
          <w:tcPr>
            <w:tcW w:type="dxa" w:w="5852"/>
            <w:vAlign w:val="top"/>
          </w:tcPr>
          <w:p>
            <w:pPr>
              <w:spacing w:after="80" w:before="60" w:line="276" w:lineRule="auto"/>
            </w:pPr>
            <w:r>
              <w:rPr>
                <w:sz w:val="18"/>
              </w:rPr>
              <w:t>EMIB/Foveros 及系统组装测试；比较时锁定代际与产品状态。</w:t>
            </w:r>
            <w:hyperlink r:id="rId268">
              <w:r>
                <w:rPr>
                  <w:color w:val="4338CA"/>
                </w:rPr>
                <w:t>[F028]</w:t>
              </w:r>
            </w:hyperlink>
          </w:p>
        </w:tc>
      </w:tr>
      <w:tr>
        <w:trPr>
          <w:cantSplit/>
        </w:trPr>
        <w:tc>
          <w:tcPr>
            <w:tcW w:type="dxa" w:w="1254"/>
            <w:vAlign w:val="top"/>
          </w:tcPr>
          <w:p>
            <w:pPr>
              <w:spacing w:after="80" w:before="60" w:line="276" w:lineRule="auto"/>
            </w:pPr>
            <w:r>
              <w:rPr>
                <w:sz w:val="18"/>
              </w:rPr>
              <w:t>OSAT</w:t>
            </w:r>
          </w:p>
        </w:tc>
        <w:tc>
          <w:tcPr>
            <w:tcW w:type="dxa" w:w="2787"/>
            <w:vAlign w:val="top"/>
          </w:tcPr>
          <w:p>
            <w:pPr>
              <w:spacing w:after="80" w:before="60" w:line="276" w:lineRule="auto"/>
            </w:pPr>
            <w:r>
              <w:rPr>
                <w:sz w:val="18"/>
              </w:rPr>
              <w:t>中国台湾 ASE</w:t>
            </w:r>
          </w:p>
        </w:tc>
        <w:tc>
          <w:tcPr>
            <w:tcW w:type="dxa" w:w="5852"/>
            <w:vAlign w:val="top"/>
          </w:tcPr>
          <w:p>
            <w:pPr>
              <w:spacing w:after="80" w:before="60" w:line="276" w:lineRule="auto"/>
            </w:pPr>
            <w:r>
              <w:rPr>
                <w:sz w:val="18"/>
              </w:rPr>
              <w:t>VIPack 集成 fan-out、2.5D/3D 与 CPO 方向；技术平台不能证明某个未公开客户订单。</w:t>
            </w:r>
            <w:hyperlink r:id="rId269">
              <w:r>
                <w:rPr>
                  <w:color w:val="4338CA"/>
                </w:rPr>
                <w:t>[F047]</w:t>
              </w:r>
            </w:hyperlink>
          </w:p>
        </w:tc>
      </w:tr>
      <w:tr>
        <w:trPr>
          <w:cantSplit/>
        </w:trPr>
        <w:tc>
          <w:tcPr>
            <w:tcW w:type="dxa" w:w="1254"/>
            <w:vAlign w:val="top"/>
          </w:tcPr>
          <w:p>
            <w:pPr>
              <w:spacing w:after="80" w:before="60" w:line="276" w:lineRule="auto"/>
            </w:pPr>
            <w:r>
              <w:rPr>
                <w:sz w:val="18"/>
              </w:rPr>
              <w:t>OSAT</w:t>
            </w:r>
          </w:p>
        </w:tc>
        <w:tc>
          <w:tcPr>
            <w:tcW w:type="dxa" w:w="2787"/>
            <w:vAlign w:val="top"/>
          </w:tcPr>
          <w:p>
            <w:pPr>
              <w:spacing w:after="80" w:before="60" w:line="276" w:lineRule="auto"/>
            </w:pPr>
            <w:r>
              <w:rPr>
                <w:sz w:val="18"/>
              </w:rPr>
              <w:t>美国 Amkor、亚洲制造网络</w:t>
            </w:r>
          </w:p>
        </w:tc>
        <w:tc>
          <w:tcPr>
            <w:tcW w:type="dxa" w:w="5852"/>
            <w:vAlign w:val="top"/>
          </w:tcPr>
          <w:p>
            <w:pPr>
              <w:spacing w:after="80" w:before="60" w:line="276" w:lineRule="auto"/>
            </w:pPr>
            <w:r>
              <w:rPr>
                <w:sz w:val="18"/>
              </w:rPr>
              <w:t>TSV 后段、2.5D、fan-out 等；明确本表来源的 TSV 前后工艺边界。</w:t>
            </w:r>
            <w:hyperlink r:id="rId271">
              <w:r>
                <w:rPr>
                  <w:color w:val="4338CA"/>
                </w:rPr>
                <w:t>[F048]</w:t>
              </w:r>
            </w:hyperlink>
          </w:p>
        </w:tc>
      </w:tr>
      <w:tr>
        <w:trPr>
          <w:cantSplit/>
        </w:trPr>
        <w:tc>
          <w:tcPr>
            <w:tcW w:type="dxa" w:w="1254"/>
            <w:vAlign w:val="top"/>
          </w:tcPr>
          <w:p>
            <w:pPr>
              <w:spacing w:after="80" w:before="60" w:line="276" w:lineRule="auto"/>
            </w:pPr>
            <w:r>
              <w:rPr>
                <w:sz w:val="18"/>
              </w:rPr>
              <w:t>OSAT</w:t>
            </w:r>
          </w:p>
        </w:tc>
        <w:tc>
          <w:tcPr>
            <w:tcW w:type="dxa" w:w="2787"/>
            <w:vAlign w:val="top"/>
          </w:tcPr>
          <w:p>
            <w:pPr>
              <w:spacing w:after="80" w:before="60" w:line="276" w:lineRule="auto"/>
            </w:pPr>
            <w:r>
              <w:rPr>
                <w:sz w:val="18"/>
              </w:rPr>
              <w:t>中国大陆 JCET/长电及 STATS ChipPAC</w:t>
            </w:r>
          </w:p>
        </w:tc>
        <w:tc>
          <w:tcPr>
            <w:tcW w:type="dxa" w:w="5852"/>
            <w:vAlign w:val="top"/>
          </w:tcPr>
          <w:p>
            <w:pPr>
              <w:spacing w:after="80" w:before="60" w:line="276" w:lineRule="auto"/>
            </w:pPr>
            <w:r>
              <w:rPr>
                <w:sz w:val="18"/>
              </w:rPr>
              <w:t>XDFOI 高密度 fan-out；STATS ChipPAC 是其全球业务网络相关实体，活动赞助名称不能直接当独立上市股票。</w:t>
            </w:r>
            <w:hyperlink r:id="rId270">
              <w:r>
                <w:rPr>
                  <w:color w:val="4338CA"/>
                </w:rPr>
                <w:t>[F049]</w:t>
              </w:r>
            </w:hyperlink>
            <w:hyperlink r:id="rId275">
              <w:r>
                <w:rPr>
                  <w:color w:val="4338CA"/>
                </w:rPr>
                <w:t>[F069]</w:t>
              </w:r>
            </w:hyperlink>
          </w:p>
        </w:tc>
      </w:tr>
      <w:tr>
        <w:trPr>
          <w:cantSplit/>
        </w:trPr>
        <w:tc>
          <w:tcPr>
            <w:tcW w:type="dxa" w:w="1254"/>
            <w:vAlign w:val="top"/>
          </w:tcPr>
          <w:p>
            <w:pPr>
              <w:spacing w:after="80" w:before="60" w:line="276" w:lineRule="auto"/>
            </w:pPr>
            <w:r>
              <w:rPr>
                <w:sz w:val="18"/>
              </w:rPr>
              <w:t>键合设备</w:t>
            </w:r>
          </w:p>
        </w:tc>
        <w:tc>
          <w:tcPr>
            <w:tcW w:type="dxa" w:w="2787"/>
            <w:vAlign w:val="top"/>
          </w:tcPr>
          <w:p>
            <w:pPr>
              <w:spacing w:after="80" w:before="60" w:line="276" w:lineRule="auto"/>
            </w:pPr>
            <w:r>
              <w:rPr>
                <w:sz w:val="18"/>
              </w:rPr>
              <w:t>奥地利 EVG；荷兰 Besi</w:t>
            </w:r>
          </w:p>
        </w:tc>
        <w:tc>
          <w:tcPr>
            <w:tcW w:type="dxa" w:w="5852"/>
            <w:vAlign w:val="top"/>
          </w:tcPr>
          <w:p>
            <w:pPr>
              <w:spacing w:after="80" w:before="60" w:line="276" w:lineRule="auto"/>
            </w:pPr>
            <w:r>
              <w:rPr>
                <w:sz w:val="18"/>
              </w:rPr>
              <w:t>EVG 的 W2W/D2W bonding 与 Besi hybrid/TCB 能力；按各自承担的步骤比较。</w:t>
            </w:r>
            <w:hyperlink r:id="rId253">
              <w:r>
                <w:rPr>
                  <w:color w:val="4338CA"/>
                </w:rPr>
                <w:t>[F029]</w:t>
              </w:r>
            </w:hyperlink>
            <w:hyperlink r:id="rId272">
              <w:r>
                <w:rPr>
                  <w:color w:val="4338CA"/>
                </w:rPr>
                <w:t>[F030]</w:t>
              </w:r>
            </w:hyperlink>
          </w:p>
        </w:tc>
      </w:tr>
      <w:tr>
        <w:trPr>
          <w:cantSplit/>
        </w:trPr>
        <w:tc>
          <w:tcPr>
            <w:tcW w:type="dxa" w:w="1254"/>
            <w:vAlign w:val="top"/>
          </w:tcPr>
          <w:p>
            <w:pPr>
              <w:spacing w:after="80" w:before="60" w:line="276" w:lineRule="auto"/>
            </w:pPr>
            <w:r>
              <w:rPr>
                <w:sz w:val="18"/>
              </w:rPr>
              <w:t>键合设备</w:t>
            </w:r>
          </w:p>
        </w:tc>
        <w:tc>
          <w:tcPr>
            <w:tcW w:type="dxa" w:w="2787"/>
            <w:vAlign w:val="top"/>
          </w:tcPr>
          <w:p>
            <w:pPr>
              <w:spacing w:after="80" w:before="60" w:line="276" w:lineRule="auto"/>
            </w:pPr>
            <w:r>
              <w:rPr>
                <w:sz w:val="18"/>
              </w:rPr>
              <w:t>日本芝浦机电；韩国 HANMI</w:t>
            </w:r>
          </w:p>
        </w:tc>
        <w:tc>
          <w:tcPr>
            <w:tcW w:type="dxa" w:w="5852"/>
            <w:vAlign w:val="top"/>
          </w:tcPr>
          <w:p>
            <w:pPr>
              <w:spacing w:after="80" w:before="60" w:line="276" w:lineRule="auto"/>
            </w:pPr>
            <w:r>
              <w:rPr>
                <w:sz w:val="18"/>
              </w:rPr>
              <w:t>C2W hybrid/fusion；HBM TC bonder 等；不得把某产品的市场宣传扩张为“封装全链独家”。</w:t>
            </w:r>
            <w:hyperlink r:id="rId231">
              <w:r>
                <w:rPr>
                  <w:color w:val="4338CA"/>
                </w:rPr>
                <w:t>[F031]</w:t>
              </w:r>
            </w:hyperlink>
            <w:hyperlink r:id="rId236">
              <w:r>
                <w:rPr>
                  <w:color w:val="4338CA"/>
                </w:rPr>
                <w:t>[F051]</w:t>
              </w:r>
            </w:hyperlink>
          </w:p>
        </w:tc>
      </w:tr>
      <w:tr>
        <w:trPr>
          <w:cantSplit/>
        </w:trPr>
        <w:tc>
          <w:tcPr>
            <w:tcW w:type="dxa" w:w="1254"/>
            <w:vAlign w:val="top"/>
          </w:tcPr>
          <w:p>
            <w:pPr>
              <w:spacing w:after="80" w:before="60" w:line="276" w:lineRule="auto"/>
            </w:pPr>
            <w:r>
              <w:rPr>
                <w:sz w:val="18"/>
              </w:rPr>
              <w:t>中国设备扩展</w:t>
            </w:r>
          </w:p>
        </w:tc>
        <w:tc>
          <w:tcPr>
            <w:tcW w:type="dxa" w:w="2787"/>
            <w:vAlign w:val="top"/>
          </w:tcPr>
          <w:p>
            <w:pPr>
              <w:spacing w:after="80" w:before="60" w:line="276" w:lineRule="auto"/>
            </w:pPr>
            <w:r>
              <w:rPr>
                <w:sz w:val="18"/>
              </w:rPr>
              <w:t>北方华创；拓荆</w:t>
            </w:r>
          </w:p>
        </w:tc>
        <w:tc>
          <w:tcPr>
            <w:tcW w:type="dxa" w:w="5852"/>
            <w:vAlign w:val="top"/>
          </w:tcPr>
          <w:p>
            <w:pPr>
              <w:spacing w:after="80" w:before="60" w:line="276" w:lineRule="auto"/>
            </w:pPr>
            <w:r>
              <w:rPr>
                <w:sz w:val="18"/>
              </w:rPr>
              <w:t>公开有键合或 3D IC 系列；工艺范围、精度及量产资格仍须独立核实。</w:t>
            </w:r>
            <w:hyperlink r:id="rId207">
              <w:r>
                <w:rPr>
                  <w:color w:val="4338CA"/>
                </w:rPr>
                <w:t>[F009]</w:t>
              </w:r>
            </w:hyperlink>
            <w:hyperlink r:id="rId206">
              <w:r>
                <w:rPr>
                  <w:color w:val="4338CA"/>
                </w:rPr>
                <w:t>[F011]</w:t>
              </w:r>
            </w:hyperlink>
          </w:p>
        </w:tc>
      </w:tr>
    </w:tbl>
    <w:p>
      <w:pPr>
        <w:spacing w:after="0"/>
      </w:pPr>
    </w:p>
    <w:p>
      <w:pPr>
        <w:pStyle w:val="Heading2"/>
      </w:pPr>
      <w:r>
        <w:t>电测试的插入点与设备生态</w:t>
      </w:r>
    </w:p>
    <w:tbl>
      <w:tblPr>
        <w:tblW w:type="auto" w:w="0"/>
        <w:jc w:val="center"/>
        <w:tblLayout w:type="fixed"/>
        <w:tblLook w:firstColumn="1" w:firstRow="1" w:lastColumn="0" w:lastRow="0" w:noHBand="0" w:noVBand="1" w:val="04A0"/>
      </w:tblPr>
      <w:tblGrid>
        <w:gridCol w:w="1555"/>
        <w:gridCol w:w="2779"/>
        <w:gridCol w:w="5558"/>
      </w:tblGrid>
      <w:tr>
        <w:trPr>
          <w:tblHeader/>
        </w:trPr>
        <w:tc>
          <w:tcPr>
            <w:tcW w:type="dxa" w:w="1555"/>
            <w:vAlign w:val="top"/>
            <w:shd w:fill="E0E7FF"/>
          </w:tcPr>
          <w:p>
            <w:pPr>
              <w:spacing w:after="80" w:before="60" w:line="276" w:lineRule="auto"/>
            </w:pPr>
            <w:r>
              <w:rPr>
                <w:b/>
                <w:sz w:val="18"/>
              </w:rPr>
              <w:t>阶段</w:t>
            </w:r>
          </w:p>
        </w:tc>
        <w:tc>
          <w:tcPr>
            <w:tcW w:type="dxa" w:w="2779"/>
            <w:vAlign w:val="top"/>
            <w:shd w:fill="E0E7FF"/>
          </w:tcPr>
          <w:p>
            <w:pPr>
              <w:spacing w:after="80" w:before="60" w:line="276" w:lineRule="auto"/>
            </w:pPr>
            <w:r>
              <w:rPr>
                <w:b/>
                <w:sz w:val="18"/>
              </w:rPr>
              <w:t>在排除哪类风险</w:t>
            </w:r>
          </w:p>
        </w:tc>
        <w:tc>
          <w:tcPr>
            <w:tcW w:type="dxa" w:w="5558"/>
            <w:vAlign w:val="top"/>
            <w:shd w:fill="E0E7FF"/>
          </w:tcPr>
          <w:p>
            <w:pPr>
              <w:spacing w:after="80" w:before="60" w:line="276" w:lineRule="auto"/>
            </w:pPr>
            <w:r>
              <w:rPr>
                <w:b/>
                <w:sz w:val="18"/>
              </w:rPr>
              <w:t>需要哪些组件/公司角色</w:t>
            </w:r>
          </w:p>
        </w:tc>
      </w:tr>
      <w:tr>
        <w:trPr>
          <w:cantSplit/>
        </w:trPr>
        <w:tc>
          <w:tcPr>
            <w:tcW w:type="dxa" w:w="1555"/>
            <w:vAlign w:val="top"/>
          </w:tcPr>
          <w:p>
            <w:pPr>
              <w:spacing w:after="80" w:before="60" w:line="276" w:lineRule="auto"/>
            </w:pPr>
            <w:r>
              <w:rPr>
                <w:sz w:val="18"/>
              </w:rPr>
              <w:t>晶圆参数/工艺测试</w:t>
            </w:r>
          </w:p>
        </w:tc>
        <w:tc>
          <w:tcPr>
            <w:tcW w:type="dxa" w:w="2779"/>
            <w:vAlign w:val="top"/>
          </w:tcPr>
          <w:p>
            <w:pPr>
              <w:spacing w:after="80" w:before="60" w:line="276" w:lineRule="auto"/>
            </w:pPr>
            <w:r>
              <w:rPr>
                <w:sz w:val="18"/>
              </w:rPr>
              <w:t>晶体管、接触、互连等制造偏差</w:t>
            </w:r>
          </w:p>
        </w:tc>
        <w:tc>
          <w:tcPr>
            <w:tcW w:type="dxa" w:w="5558"/>
            <w:vAlign w:val="top"/>
          </w:tcPr>
          <w:p>
            <w:pPr>
              <w:spacing w:after="80" w:before="60" w:line="276" w:lineRule="auto"/>
            </w:pPr>
            <w:r>
              <w:rPr>
                <w:sz w:val="18"/>
              </w:rPr>
              <w:t>参数仪器/SMU、探针机、探针卡；与功能 ATE 的任务不同。</w:t>
            </w:r>
            <w:hyperlink r:id="rId276">
              <w:r>
                <w:rPr>
                  <w:color w:val="4338CA"/>
                </w:rPr>
                <w:t>[F040]</w:t>
              </w:r>
            </w:hyperlink>
            <w:hyperlink r:id="rId202">
              <w:r>
                <w:rPr>
                  <w:color w:val="4338CA"/>
                </w:rPr>
                <w:t>[F001]</w:t>
              </w:r>
            </w:hyperlink>
          </w:p>
        </w:tc>
      </w:tr>
      <w:tr>
        <w:trPr>
          <w:cantSplit/>
        </w:trPr>
        <w:tc>
          <w:tcPr>
            <w:tcW w:type="dxa" w:w="1555"/>
            <w:vAlign w:val="top"/>
          </w:tcPr>
          <w:p>
            <w:pPr>
              <w:spacing w:after="80" w:before="60" w:line="276" w:lineRule="auto"/>
            </w:pPr>
            <w:r>
              <w:rPr>
                <w:sz w:val="18"/>
              </w:rPr>
              <w:t>晶圆功能测试、KGD</w:t>
            </w:r>
          </w:p>
        </w:tc>
        <w:tc>
          <w:tcPr>
            <w:tcW w:type="dxa" w:w="2779"/>
            <w:vAlign w:val="top"/>
          </w:tcPr>
          <w:p>
            <w:pPr>
              <w:spacing w:after="80" w:before="60" w:line="276" w:lineRule="auto"/>
            </w:pPr>
            <w:r>
              <w:rPr>
                <w:sz w:val="18"/>
              </w:rPr>
              <w:t>避免把明显失效裸片带入昂贵堆叠</w:t>
            </w:r>
          </w:p>
        </w:tc>
        <w:tc>
          <w:tcPr>
            <w:tcW w:type="dxa" w:w="5558"/>
            <w:vAlign w:val="top"/>
          </w:tcPr>
          <w:p>
            <w:pPr>
              <w:spacing w:after="80" w:before="60" w:line="276" w:lineRule="auto"/>
            </w:pPr>
            <w:r>
              <w:rPr>
                <w:sz w:val="18"/>
              </w:rPr>
              <w:t>ATE 发激励并测结果；prober 定位/控温；probe card 电接触。FormFactor 的 HFTAP 公开用于 DRAM/HBM 类 wafer KGD。</w:t>
            </w:r>
            <w:hyperlink r:id="rId277">
              <w:r>
                <w:rPr>
                  <w:color w:val="4338CA"/>
                </w:rPr>
                <w:t>[F032]</w:t>
              </w:r>
            </w:hyperlink>
            <w:hyperlink r:id="rId273">
              <w:r>
                <w:rPr>
                  <w:color w:val="4338CA"/>
                </w:rPr>
                <w:t>[F034]</w:t>
              </w:r>
            </w:hyperlink>
          </w:p>
        </w:tc>
      </w:tr>
      <w:tr>
        <w:trPr>
          <w:cantSplit/>
        </w:trPr>
        <w:tc>
          <w:tcPr>
            <w:tcW w:type="dxa" w:w="1555"/>
            <w:vAlign w:val="top"/>
          </w:tcPr>
          <w:p>
            <w:pPr>
              <w:spacing w:after="80" w:before="60" w:line="276" w:lineRule="auto"/>
            </w:pPr>
            <w:r>
              <w:rPr>
                <w:sz w:val="18"/>
              </w:rPr>
              <w:t>封装最终测试 FT</w:t>
            </w:r>
          </w:p>
        </w:tc>
        <w:tc>
          <w:tcPr>
            <w:tcW w:type="dxa" w:w="2779"/>
            <w:vAlign w:val="top"/>
          </w:tcPr>
          <w:p>
            <w:pPr>
              <w:spacing w:after="80" w:before="60" w:line="276" w:lineRule="auto"/>
            </w:pPr>
            <w:r>
              <w:rPr>
                <w:sz w:val="18"/>
              </w:rPr>
              <w:t>检查封装后功能与电性，进行分档</w:t>
            </w:r>
          </w:p>
        </w:tc>
        <w:tc>
          <w:tcPr>
            <w:tcW w:type="dxa" w:w="5558"/>
            <w:vAlign w:val="top"/>
          </w:tcPr>
          <w:p>
            <w:pPr>
              <w:spacing w:after="80" w:before="60" w:line="276" w:lineRule="auto"/>
            </w:pPr>
            <w:r>
              <w:rPr>
                <w:sz w:val="18"/>
              </w:rPr>
              <w:t>ATE、handler、DIB/load board、socket/contact、热控制和测试程序共同组成 test cell。</w:t>
            </w:r>
            <w:hyperlink r:id="rId278">
              <w:r>
                <w:rPr>
                  <w:color w:val="4338CA"/>
                </w:rPr>
                <w:t>[F033]</w:t>
              </w:r>
            </w:hyperlink>
            <w:hyperlink r:id="rId235">
              <w:r>
                <w:rPr>
                  <w:color w:val="4338CA"/>
                </w:rPr>
                <w:t>[F035]</w:t>
              </w:r>
            </w:hyperlink>
          </w:p>
        </w:tc>
      </w:tr>
      <w:tr>
        <w:trPr>
          <w:cantSplit/>
        </w:trPr>
        <w:tc>
          <w:tcPr>
            <w:tcW w:type="dxa" w:w="1555"/>
            <w:vAlign w:val="top"/>
          </w:tcPr>
          <w:p>
            <w:pPr>
              <w:spacing w:after="80" w:before="60" w:line="276" w:lineRule="auto"/>
            </w:pPr>
            <w:r>
              <w:rPr>
                <w:sz w:val="18"/>
              </w:rPr>
              <w:t>老化 burn-in</w:t>
            </w:r>
          </w:p>
        </w:tc>
        <w:tc>
          <w:tcPr>
            <w:tcW w:type="dxa" w:w="2779"/>
            <w:vAlign w:val="top"/>
          </w:tcPr>
          <w:p>
            <w:pPr>
              <w:spacing w:after="80" w:before="60" w:line="276" w:lineRule="auto"/>
            </w:pPr>
            <w:r>
              <w:rPr>
                <w:sz w:val="18"/>
              </w:rPr>
              <w:t>在规定应力条件下筛除或研究早期失效</w:t>
            </w:r>
          </w:p>
        </w:tc>
        <w:tc>
          <w:tcPr>
            <w:tcW w:type="dxa" w:w="5558"/>
            <w:vAlign w:val="top"/>
          </w:tcPr>
          <w:p>
            <w:pPr>
              <w:spacing w:after="80" w:before="60" w:line="276" w:lineRule="auto"/>
            </w:pPr>
            <w:r>
              <w:rPr>
                <w:sz w:val="18"/>
              </w:rPr>
              <w:t>电源、温度、板卡/接触和长期运行；通过不等于全寿命零失效。</w:t>
            </w:r>
            <w:hyperlink r:id="rId235">
              <w:r>
                <w:rPr>
                  <w:color w:val="4338CA"/>
                </w:rPr>
                <w:t>[F035]</w:t>
              </w:r>
            </w:hyperlink>
          </w:p>
        </w:tc>
      </w:tr>
      <w:tr>
        <w:trPr>
          <w:cantSplit/>
        </w:trPr>
        <w:tc>
          <w:tcPr>
            <w:tcW w:type="dxa" w:w="1555"/>
            <w:vAlign w:val="top"/>
          </w:tcPr>
          <w:p>
            <w:pPr>
              <w:spacing w:after="80" w:before="60" w:line="276" w:lineRule="auto"/>
            </w:pPr>
            <w:r>
              <w:rPr>
                <w:sz w:val="18"/>
              </w:rPr>
              <w:t>系统级 SLT</w:t>
            </w:r>
          </w:p>
        </w:tc>
        <w:tc>
          <w:tcPr>
            <w:tcW w:type="dxa" w:w="2779"/>
            <w:vAlign w:val="top"/>
          </w:tcPr>
          <w:p>
            <w:pPr>
              <w:spacing w:after="80" w:before="60" w:line="276" w:lineRule="auto"/>
            </w:pPr>
            <w:r>
              <w:rPr>
                <w:sz w:val="18"/>
              </w:rPr>
              <w:t>运行接近实际系统的软硬件工作负载</w:t>
            </w:r>
          </w:p>
        </w:tc>
        <w:tc>
          <w:tcPr>
            <w:tcW w:type="dxa" w:w="5558"/>
            <w:vAlign w:val="top"/>
          </w:tcPr>
          <w:p>
            <w:pPr>
              <w:spacing w:after="80" w:before="60" w:line="276" w:lineRule="auto"/>
            </w:pPr>
            <w:r>
              <w:rPr>
                <w:sz w:val="18"/>
              </w:rPr>
              <w:t>高功率供电、散热、真实接口、自动搬运与诊断；补充结构/参数测试，不能宣称完全替代 ATE。</w:t>
            </w:r>
            <w:hyperlink r:id="rId235">
              <w:r>
                <w:rPr>
                  <w:color w:val="4338CA"/>
                </w:rPr>
                <w:t>[F035]</w:t>
              </w:r>
            </w:hyperlink>
          </w:p>
        </w:tc>
      </w:tr>
    </w:tbl>
    <w:p>
      <w:pPr>
        <w:spacing w:after="0"/>
      </w:pPr>
    </w:p>
    <w:p>
      <w:pPr/>
      <w:r>
        <w:t>Advantest V93000 和 Teradyne UltraFLEXplus 属于 SoC ATE 平台；致茂在 SLT、高功率热控、handler、接触及系统集成方面提供方案；FormFactor 提供探针卡及测量产品；东京电子等的 prober 完成晶圆定位/温控与电测对接。公司能“给 GPU 测试提供设备”和公司“运营测试工厂”是两种收入模式，不能混为同一家代测服务商。</w:t>
      </w:r>
      <w:hyperlink r:id="rId277">
        <w:r>
          <w:rPr>
            <w:color w:val="4338CA"/>
          </w:rPr>
          <w:t>[F032]</w:t>
        </w:r>
      </w:hyperlink>
      <w:hyperlink r:id="rId278">
        <w:r>
          <w:rPr>
            <w:color w:val="4338CA"/>
          </w:rPr>
          <w:t>[F033]</w:t>
        </w:r>
      </w:hyperlink>
      <w:hyperlink r:id="rId273">
        <w:r>
          <w:rPr>
            <w:color w:val="4338CA"/>
          </w:rPr>
          <w:t>[F034]</w:t>
        </w:r>
      </w:hyperlink>
      <w:hyperlink r:id="rId235">
        <w:r>
          <w:rPr>
            <w:color w:val="4338CA"/>
          </w:rPr>
          <w:t>[F035]</w:t>
        </w:r>
      </w:hyperlink>
      <w:hyperlink r:id="rId202">
        <w:r>
          <w:rPr>
            <w:color w:val="4338CA"/>
          </w:rPr>
          <w:t>[F001]</w:t>
        </w:r>
      </w:hyperlink>
    </w:p>
    <w:p>
      <w:pPr>
        <w:pStyle w:val="Heading2"/>
      </w:pPr>
      <w:r>
        <w:t>测试为什么可能增加 也可能被优化</w:t>
      </w:r>
    </w:p>
    <w:p>
      <w:pPr/>
      <w:r>
        <w:t>单颗测试成本可按“同一期间的设备/接口折旧+维护+工程+能耗+场地成本”除以同期合格器件数量估算；并行站点、测试时间和有效利用率都重要。多芯片价值提高支持更早检出缺陷，但更好的 DFT、并行化、测试程序复用与数据驱动筛选又能降低单位测试成本。这是本报告的分析框架；Teradyne 和 Advantest 官方平台都将扩展、并行和复用作为设计目标，不能只用“芯片复杂度上升”推导设备收入同比例增长。</w:t>
      </w:r>
      <w:hyperlink r:id="rId277">
        <w:r>
          <w:rPr>
            <w:color w:val="4338CA"/>
          </w:rPr>
          <w:t>[F032]</w:t>
        </w:r>
      </w:hyperlink>
      <w:hyperlink r:id="rId278">
        <w:r>
          <w:rPr>
            <w:color w:val="4338CA"/>
          </w:rPr>
          <w:t>[F033]</w:t>
        </w:r>
      </w:hyperlink>
    </w:p>
    <w:p>
      <w:pPr/>
      <w:r>
        <w:t>建议现场问测试企业：哪个新增失效模式必须由此插入点发现；每颗测试时间/测试功耗增长多少；并测数量受热控、供电还是引脚限制；是否能在下一代产品复用；减少过杀和漏检有何统计证据。这些指标比笼统的“AI 测试受益”更接近可验证投资逻辑。</w:t>
      </w:r>
      <w:hyperlink r:id="rId278">
        <w:r>
          <w:rPr>
            <w:color w:val="4338CA"/>
          </w:rPr>
          <w:t>[F033]</w:t>
        </w:r>
      </w:hyperlink>
      <w:hyperlink r:id="rId235">
        <w:r>
          <w:rPr>
            <w:color w:val="4338CA"/>
          </w:rPr>
          <w:t>[F035]</w:t>
        </w:r>
      </w:hyperlink>
    </w:p>
    <w:p>
      <w:pPr>
        <w:pStyle w:val="Heading1"/>
        <w:pageBreakBefore/>
      </w:pPr>
      <w:r>
        <w:t>07B  光子封装测试与罗博特科案例</w:t>
      </w:r>
    </w:p>
    <w:p>
      <w:pPr>
        <w:pStyle w:val="Heading2"/>
      </w:pPr>
      <w:r>
        <w:t>先把“光测试”拆开</w:t>
      </w:r>
    </w:p>
    <w:p>
      <w:pPr/>
      <w:r>
        <w:t>光引擎需要连接激光器、PIC、电子芯片、微光学和光纤等部件；生产中既要检查直流/高速电性，也要检查耦合与光学性能。ficonTEC 的产品范围覆盖器件微组装、主动/被动对准、粘接/焊接和电光测试；它属于制造设备环节，不等于生产光芯片、光模块或运营数据中心。</w:t>
      </w:r>
      <w:hyperlink r:id="rId238">
        <w:r>
          <w:rPr>
            <w:color w:val="4338CA"/>
          </w:rPr>
          <w:t>[F036]</w:t>
        </w:r>
      </w:hyperlink>
      <w:hyperlink r:id="rId279">
        <w:r>
          <w:rPr>
            <w:color w:val="4338CA"/>
          </w:rPr>
          <w:t>[F037]</w:t>
        </w:r>
      </w:hyperlink>
    </w:p>
    <w:tbl>
      <w:tblPr>
        <w:tblW w:type="auto" w:w="0"/>
        <w:jc w:val="center"/>
        <w:tblLayout w:type="fixed"/>
        <w:tblLook w:firstColumn="1" w:firstRow="1" w:lastColumn="0" w:lastRow="0" w:noHBand="0" w:noVBand="1" w:val="04A0"/>
      </w:tblPr>
      <w:tblGrid>
        <w:gridCol w:w="1413"/>
        <w:gridCol w:w="3048"/>
        <w:gridCol w:w="5431"/>
      </w:tblGrid>
      <w:tr>
        <w:trPr>
          <w:tblHeader/>
        </w:trPr>
        <w:tc>
          <w:tcPr>
            <w:tcW w:type="dxa" w:w="1413"/>
            <w:vAlign w:val="top"/>
            <w:shd w:fill="E0E7FF"/>
          </w:tcPr>
          <w:p>
            <w:pPr>
              <w:spacing w:after="80" w:before="60" w:line="276" w:lineRule="auto"/>
            </w:pPr>
            <w:r>
              <w:rPr>
                <w:b/>
                <w:sz w:val="18"/>
              </w:rPr>
              <w:t>测试/工艺</w:t>
            </w:r>
          </w:p>
        </w:tc>
        <w:tc>
          <w:tcPr>
            <w:tcW w:type="dxa" w:w="3048"/>
            <w:vAlign w:val="top"/>
            <w:shd w:fill="E0E7FF"/>
          </w:tcPr>
          <w:p>
            <w:pPr>
              <w:spacing w:after="80" w:before="60" w:line="276" w:lineRule="auto"/>
            </w:pPr>
            <w:r>
              <w:rPr>
                <w:b/>
                <w:sz w:val="18"/>
              </w:rPr>
              <w:t>解决什么问题</w:t>
            </w:r>
          </w:p>
        </w:tc>
        <w:tc>
          <w:tcPr>
            <w:tcW w:type="dxa" w:w="5431"/>
            <w:vAlign w:val="top"/>
            <w:shd w:fill="E0E7FF"/>
          </w:tcPr>
          <w:p>
            <w:pPr>
              <w:spacing w:after="80" w:before="60" w:line="276" w:lineRule="auto"/>
            </w:pPr>
            <w:r>
              <w:rPr>
                <w:b/>
                <w:sz w:val="18"/>
              </w:rPr>
              <w:t>要看哪些实际指标</w:t>
            </w:r>
          </w:p>
        </w:tc>
      </w:tr>
      <w:tr>
        <w:trPr>
          <w:cantSplit/>
        </w:trPr>
        <w:tc>
          <w:tcPr>
            <w:tcW w:type="dxa" w:w="1413"/>
            <w:vAlign w:val="top"/>
          </w:tcPr>
          <w:p>
            <w:pPr>
              <w:spacing w:after="80" w:before="60" w:line="276" w:lineRule="auto"/>
            </w:pPr>
            <w:r>
              <w:rPr>
                <w:sz w:val="18"/>
              </w:rPr>
              <w:t>被动视觉对准</w:t>
            </w:r>
          </w:p>
        </w:tc>
        <w:tc>
          <w:tcPr>
            <w:tcW w:type="dxa" w:w="3048"/>
            <w:vAlign w:val="top"/>
          </w:tcPr>
          <w:p>
            <w:pPr>
              <w:spacing w:after="80" w:before="60" w:line="276" w:lineRule="auto"/>
            </w:pPr>
            <w:r>
              <w:rPr>
                <w:sz w:val="18"/>
              </w:rPr>
              <w:t>通过标记与几何校准找到初始位置</w:t>
            </w:r>
          </w:p>
        </w:tc>
        <w:tc>
          <w:tcPr>
            <w:tcW w:type="dxa" w:w="5431"/>
            <w:vAlign w:val="top"/>
          </w:tcPr>
          <w:p>
            <w:pPr>
              <w:spacing w:after="80" w:before="60" w:line="276" w:lineRule="auto"/>
            </w:pPr>
            <w:r>
              <w:rPr>
                <w:sz w:val="18"/>
              </w:rPr>
              <w:t>标记可见性、摄像/实际运动坐标校准、预对准耗时；其目标之一是缩小主动搜索空间。</w:t>
            </w:r>
            <w:hyperlink r:id="rId238">
              <w:r>
                <w:rPr>
                  <w:color w:val="4338CA"/>
                </w:rPr>
                <w:t>[F036]</w:t>
              </w:r>
            </w:hyperlink>
          </w:p>
        </w:tc>
      </w:tr>
      <w:tr>
        <w:trPr>
          <w:cantSplit/>
        </w:trPr>
        <w:tc>
          <w:tcPr>
            <w:tcW w:type="dxa" w:w="1413"/>
            <w:vAlign w:val="top"/>
          </w:tcPr>
          <w:p>
            <w:pPr>
              <w:spacing w:after="80" w:before="60" w:line="276" w:lineRule="auto"/>
            </w:pPr>
            <w:r>
              <w:rPr>
                <w:sz w:val="18"/>
              </w:rPr>
              <w:t>主动光学对准</w:t>
            </w:r>
          </w:p>
        </w:tc>
        <w:tc>
          <w:tcPr>
            <w:tcW w:type="dxa" w:w="3048"/>
            <w:vAlign w:val="top"/>
          </w:tcPr>
          <w:p>
            <w:pPr>
              <w:spacing w:after="80" w:before="60" w:line="276" w:lineRule="auto"/>
            </w:pPr>
            <w:r>
              <w:rPr>
                <w:sz w:val="18"/>
              </w:rPr>
              <w:t>一边移动，一边测光功率等耦合反馈</w:t>
            </w:r>
          </w:p>
        </w:tc>
        <w:tc>
          <w:tcPr>
            <w:tcW w:type="dxa" w:w="5431"/>
            <w:vAlign w:val="top"/>
          </w:tcPr>
          <w:p>
            <w:pPr>
              <w:spacing w:after="80" w:before="60" w:line="276" w:lineRule="auto"/>
            </w:pPr>
            <w:r>
              <w:rPr>
                <w:sz w:val="18"/>
              </w:rPr>
              <w:t>低损耗位置、搜索时间、重复性，多端口/多芯片适配；包含平移与旋转等自由度。</w:t>
            </w:r>
            <w:hyperlink r:id="rId238">
              <w:r>
                <w:rPr>
                  <w:color w:val="4338CA"/>
                </w:rPr>
                <w:t>[F036]</w:t>
              </w:r>
            </w:hyperlink>
          </w:p>
        </w:tc>
      </w:tr>
      <w:tr>
        <w:trPr>
          <w:cantSplit/>
        </w:trPr>
        <w:tc>
          <w:tcPr>
            <w:tcW w:type="dxa" w:w="1413"/>
            <w:vAlign w:val="top"/>
          </w:tcPr>
          <w:p>
            <w:pPr>
              <w:spacing w:after="80" w:before="60" w:line="276" w:lineRule="auto"/>
            </w:pPr>
            <w:r>
              <w:rPr>
                <w:sz w:val="18"/>
              </w:rPr>
              <w:t>attach 与固化/焊接</w:t>
            </w:r>
          </w:p>
        </w:tc>
        <w:tc>
          <w:tcPr>
            <w:tcW w:type="dxa" w:w="3048"/>
            <w:vAlign w:val="top"/>
          </w:tcPr>
          <w:p>
            <w:pPr>
              <w:spacing w:after="80" w:before="60" w:line="276" w:lineRule="auto"/>
            </w:pPr>
            <w:r>
              <w:rPr>
                <w:sz w:val="18"/>
              </w:rPr>
              <w:t>把找到的光学最佳位置固定下来</w:t>
            </w:r>
          </w:p>
        </w:tc>
        <w:tc>
          <w:tcPr>
            <w:tcW w:type="dxa" w:w="5431"/>
            <w:vAlign w:val="top"/>
          </w:tcPr>
          <w:p>
            <w:pPr>
              <w:spacing w:after="80" w:before="60" w:line="276" w:lineRule="auto"/>
            </w:pPr>
            <w:r>
              <w:rPr>
                <w:sz w:val="18"/>
              </w:rPr>
              <w:t>固化/热收缩导致的 post-bond shift、过程跟踪和补偿、返工率。</w:t>
            </w:r>
            <w:hyperlink r:id="rId238">
              <w:r>
                <w:rPr>
                  <w:color w:val="4338CA"/>
                </w:rPr>
                <w:t>[F036]</w:t>
              </w:r>
            </w:hyperlink>
          </w:p>
        </w:tc>
      </w:tr>
      <w:tr>
        <w:trPr>
          <w:cantSplit/>
        </w:trPr>
        <w:tc>
          <w:tcPr>
            <w:tcW w:type="dxa" w:w="1413"/>
            <w:vAlign w:val="top"/>
          </w:tcPr>
          <w:p>
            <w:pPr>
              <w:spacing w:after="80" w:before="60" w:line="276" w:lineRule="auto"/>
            </w:pPr>
            <w:r>
              <w:rPr>
                <w:sz w:val="18"/>
              </w:rPr>
              <w:t>晶圆级电光测试</w:t>
            </w:r>
          </w:p>
        </w:tc>
        <w:tc>
          <w:tcPr>
            <w:tcW w:type="dxa" w:w="3048"/>
            <w:vAlign w:val="top"/>
          </w:tcPr>
          <w:p>
            <w:pPr>
              <w:spacing w:after="80" w:before="60" w:line="276" w:lineRule="auto"/>
            </w:pPr>
            <w:r>
              <w:rPr>
                <w:sz w:val="18"/>
              </w:rPr>
              <w:t>在切片/昂贵组装前获取 PIC 地图和良率信息</w:t>
            </w:r>
          </w:p>
        </w:tc>
        <w:tc>
          <w:tcPr>
            <w:tcW w:type="dxa" w:w="5431"/>
            <w:vAlign w:val="top"/>
          </w:tcPr>
          <w:p>
            <w:pPr>
              <w:spacing w:after="80" w:before="60" w:line="276" w:lineRule="auto"/>
            </w:pPr>
            <w:r>
              <w:rPr>
                <w:sz w:val="18"/>
              </w:rPr>
              <w:t>光电双面/边缘接入、校准、温控、端面检查、端口切换和 ATE 互操作。</w:t>
            </w:r>
            <w:hyperlink r:id="rId279">
              <w:r>
                <w:rPr>
                  <w:color w:val="4338CA"/>
                </w:rPr>
                <w:t>[F037]</w:t>
              </w:r>
            </w:hyperlink>
          </w:p>
        </w:tc>
      </w:tr>
      <w:tr>
        <w:trPr>
          <w:cantSplit/>
        </w:trPr>
        <w:tc>
          <w:tcPr>
            <w:tcW w:type="dxa" w:w="1413"/>
            <w:vAlign w:val="top"/>
          </w:tcPr>
          <w:p>
            <w:pPr>
              <w:spacing w:after="80" w:before="60" w:line="276" w:lineRule="auto"/>
            </w:pPr>
            <w:r>
              <w:rPr>
                <w:sz w:val="18"/>
              </w:rPr>
              <w:t>高速信号测试</w:t>
            </w:r>
          </w:p>
        </w:tc>
        <w:tc>
          <w:tcPr>
            <w:tcW w:type="dxa" w:w="3048"/>
            <w:vAlign w:val="top"/>
          </w:tcPr>
          <w:p>
            <w:pPr>
              <w:spacing w:after="80" w:before="60" w:line="276" w:lineRule="auto"/>
            </w:pPr>
            <w:r>
              <w:rPr>
                <w:sz w:val="18"/>
              </w:rPr>
              <w:t>判断链路是否满足速率与信号质量要求</w:t>
            </w:r>
          </w:p>
        </w:tc>
        <w:tc>
          <w:tcPr>
            <w:tcW w:type="dxa" w:w="5431"/>
            <w:vAlign w:val="top"/>
          </w:tcPr>
          <w:p>
            <w:pPr>
              <w:spacing w:after="80" w:before="60" w:line="276" w:lineRule="auto"/>
            </w:pPr>
            <w:r>
              <w:rPr>
                <w:sz w:val="18"/>
              </w:rPr>
              <w:t>BERT/示波器等仪器与封装夹具协同；数据率、调制格式和测试点条件必须明确。</w:t>
            </w:r>
            <w:hyperlink r:id="rId278">
              <w:r>
                <w:rPr>
                  <w:color w:val="4338CA"/>
                </w:rPr>
                <w:t>[F033]</w:t>
              </w:r>
            </w:hyperlink>
            <w:hyperlink r:id="rId276">
              <w:r>
                <w:rPr>
                  <w:color w:val="4338CA"/>
                </w:rPr>
                <w:t>[F040]</w:t>
              </w:r>
            </w:hyperlink>
          </w:p>
        </w:tc>
      </w:tr>
      <w:tr>
        <w:trPr>
          <w:cantSplit/>
        </w:trPr>
        <w:tc>
          <w:tcPr>
            <w:tcW w:type="dxa" w:w="1413"/>
            <w:vAlign w:val="top"/>
          </w:tcPr>
          <w:p>
            <w:pPr>
              <w:spacing w:after="80" w:before="60" w:line="276" w:lineRule="auto"/>
            </w:pPr>
            <w:r>
              <w:rPr>
                <w:sz w:val="18"/>
              </w:rPr>
              <w:t>可靠性与失效分析</w:t>
            </w:r>
          </w:p>
        </w:tc>
        <w:tc>
          <w:tcPr>
            <w:tcW w:type="dxa" w:w="3048"/>
            <w:vAlign w:val="top"/>
          </w:tcPr>
          <w:p>
            <w:pPr>
              <w:spacing w:after="80" w:before="60" w:line="276" w:lineRule="auto"/>
            </w:pPr>
            <w:r>
              <w:rPr>
                <w:sz w:val="18"/>
              </w:rPr>
              <w:t>检查温度、老化或机械扰动后能否维持性能</w:t>
            </w:r>
          </w:p>
        </w:tc>
        <w:tc>
          <w:tcPr>
            <w:tcW w:type="dxa" w:w="5431"/>
            <w:vAlign w:val="top"/>
          </w:tcPr>
          <w:p>
            <w:pPr>
              <w:spacing w:after="80" w:before="60" w:line="276" w:lineRule="auto"/>
            </w:pPr>
            <w:r>
              <w:rPr>
                <w:sz w:val="18"/>
              </w:rPr>
              <w:t>测试方法、样本、应力时间及判据需对应具体产品；ficonTEC 列有 LIV、光谱、beam 和 burn-in 类测试任务。</w:t>
            </w:r>
            <w:hyperlink r:id="rId121">
              <w:r>
                <w:rPr>
                  <w:color w:val="4338CA"/>
                </w:rPr>
                <w:t>[F070]</w:t>
              </w:r>
            </w:hyperlink>
          </w:p>
        </w:tc>
      </w:tr>
    </w:tbl>
    <w:p>
      <w:pPr>
        <w:spacing w:after="0"/>
      </w:pPr>
    </w:p>
    <w:p>
      <w:pPr>
        <w:pStyle w:val="Heading2"/>
      </w:pPr>
      <w:r>
        <w:t>为什么“XYZ 三轴移动”不足以构成壁垒</w:t>
      </w:r>
    </w:p>
    <w:p>
      <w:pPr/>
      <w:r>
        <w:t>XYZ 表示平移自由度；光学耦合常还需要角度，ficonTEC 2025 年产品说明明确提到六轴主动对准。更关键的是形成闭环：视觉预定位→激光/PIC 上电→读光信号→搜索最佳点→固定→跟踪位移→复测。运动平台分辨率只说明指令尺度，不能自动证明最终耦合精度、固化后稳定性和每小时良品产出。</w:t>
      </w:r>
      <w:hyperlink r:id="rId238">
        <w:r>
          <w:rPr>
            <w:color w:val="4338CA"/>
          </w:rPr>
          <w:t>[F036]</w:t>
        </w:r>
      </w:hyperlink>
      <w:hyperlink r:id="rId279">
        <w:r>
          <w:rPr>
            <w:color w:val="4338CA"/>
          </w:rPr>
          <w:t>[F037]</w:t>
        </w:r>
      </w:hyperlink>
    </w:p>
    <w:p>
      <w:pPr/>
      <w:r>
        <w:t>从公开能力可提出六项“可能的护城河”，但必须拿生产数据验证：①光/电/机械/软件协同；②面向不同光端口及材料的 recipe 和校准库；③固化位移补偿；④高速仪器、ATE、自动上下料的接口；⑤跨机器/跨批次一致性；⑥现场服务和工艺迭代。上述是研究推论，不是已确认独占专利或客户没有替代方案。</w:t>
      </w:r>
      <w:hyperlink r:id="rId238">
        <w:r>
          <w:rPr>
            <w:color w:val="4338CA"/>
          </w:rPr>
          <w:t>[F036]</w:t>
        </w:r>
      </w:hyperlink>
      <w:hyperlink r:id="rId279">
        <w:r>
          <w:rPr>
            <w:color w:val="4338CA"/>
          </w:rPr>
          <w:t>[F037]</w:t>
        </w:r>
      </w:hyperlink>
      <w:hyperlink r:id="rId239">
        <w:r>
          <w:rPr>
            <w:color w:val="4338CA"/>
          </w:rPr>
          <w:t>[F058]</w:t>
        </w:r>
      </w:hyperlink>
    </w:p>
    <w:p>
      <w:pPr/>
      <w:r>
        <w:t>最有价值的验收组合是：在同一器件、同一插损分布、同一可靠性门槛下，报告有效 UPH、首次通过率、重测率、校准/维护间隔和最终成本。ficonTEC 的 wafer brochure 列有具体对准时间和耦合重复性，但仅能按其产品条件理解；本报告不把单项宣传指标横向排成“绝对领先”。</w:t>
      </w:r>
      <w:hyperlink r:id="rId280">
        <w:r>
          <w:rPr>
            <w:color w:val="4338CA"/>
          </w:rPr>
          <w:t>[F071]</w:t>
        </w:r>
      </w:hyperlink>
    </w:p>
    <w:p>
      <w:pPr/>
      <w:r>
        <w:t>PI（Physik Instrumente）也公开提供六自由度、多通道光子主动对准机构、控制器和算法。这个可核实的替代能力说明：六轴本身并非一家公司的专属；应比较子系统与整机在同一客户流程中的实际分工、产能和长期稳定性，不把供应商或潜在竞争者自动判成一对一整机替代。</w:t>
      </w:r>
      <w:hyperlink r:id="rId281">
        <w:r>
          <w:rPr>
            <w:color w:val="4338CA"/>
          </w:rPr>
          <w:t>[F082]</w:t>
        </w:r>
      </w:hyperlink>
    </w:p>
    <w:p>
      <w:pPr>
        <w:pStyle w:val="Heading2"/>
      </w:pPr>
      <w:r>
        <w:t>罗博特科 确认的事实与未确认的推论</w:t>
      </w:r>
    </w:p>
    <w:p>
      <w:pPr/>
      <w:r>
        <w:rPr>
          <w:b/>
        </w:rPr>
        <w:t>实体和交易事实。</w:t>
      </w:r>
      <w:r>
        <w:t xml:space="preserve"> 罗博特科智能科技股份有限公司，深交所 300757，英文 RoboTechnik。2025-05-08 的独立财务顾问核查意见确认资产过户，最终直接及间接持有 ficonTEC Service GmbH（FSG）和 ficonTEC Automation GmbH（FAG）各 100%；2026 半年报也明确记载 2025 年 5 月完成收购。</w:t>
      </w:r>
      <w:hyperlink r:id="rId282">
        <w:r>
          <w:rPr>
            <w:color w:val="4338CA"/>
          </w:rPr>
          <w:t>[F039]</w:t>
        </w:r>
      </w:hyperlink>
      <w:hyperlink r:id="rId283">
        <w:r>
          <w:rPr>
            <w:color w:val="4338CA"/>
          </w:rPr>
          <w:t>[F038]</w:t>
        </w:r>
      </w:hyperlink>
    </w:p>
    <w:p>
      <w:pPr/>
      <w:r>
        <w:rPr>
          <w:b/>
        </w:rPr>
        <w:t>技术事实。</w:t>
      </w:r>
      <w:r>
        <w:t xml:space="preserve"> ficonTEC 的 2025 年晶圆测试产品提供 300 mm 双面电光测试对接：上方进行 DC/高速电测试，下方以六轴主动对准进行光探测，配套真空热控 chuck、光纤阵列校准等功能。官网“行业首创”“主要厂商采用中”属于公司声明；本次没有独立客户验收报告来验证其独家性或份额。</w:t>
      </w:r>
      <w:hyperlink r:id="rId279">
        <w:r>
          <w:rPr>
            <w:color w:val="4338CA"/>
          </w:rPr>
          <w:t>[F037]</w:t>
        </w:r>
      </w:hyperlink>
    </w:p>
    <w:p>
      <w:pPr/>
      <w:r>
        <w:rPr>
          <w:b/>
        </w:rPr>
        <w:t>最新经营事实。</w:t>
      </w:r>
      <w:r>
        <w:t xml:space="preserve"> 2026 上半年集团营收约 6.0848 亿元、归母净利约 655.68 万元；报告披露日在手未确收订单约 33.86 亿元，其中光电子及半导体业务约 24.52 亿元。在手订单以报告披露日为时点，不是 6 月 30 日订单余额，也不是当期已确认收入；集团同时有光伏业务。推论：订单到验收、回款和利润的转化比只看“CPO 概念”更关键。数字依据半年报 p7、p11，未经本报告独立审计。</w:t>
      </w:r>
      <w:hyperlink r:id="rId283">
        <w:r>
          <w:rPr>
            <w:color w:val="4338CA"/>
          </w:rPr>
          <w:t>[F038]</w:t>
        </w:r>
      </w:hyperlink>
    </w:p>
    <w:p>
      <w:pPr/>
      <w:r>
        <w:rPr>
          <w:b/>
        </w:rPr>
        <w:t>投资研究假设。</w:t>
      </w:r>
      <w:r>
        <w:t xml:space="preserve"> 假设光 I/O、CPO、硅光器件走向量产，自动化电光对准与早期筛选的单位价值可能提高。反证路径包括：客户架构采用更容易装配的无源对准；封装标准化降低调试溢价；竞争方案提高吞吐；订单延期/撤销；毛利与现金转化未跟随增长。这里是技术和商业验证清单，不是买入结论。</w:t>
      </w:r>
      <w:hyperlink r:id="rId238">
        <w:r>
          <w:rPr>
            <w:color w:val="4338CA"/>
          </w:rPr>
          <w:t>[F036]</w:t>
        </w:r>
      </w:hyperlink>
      <w:hyperlink r:id="rId279">
        <w:r>
          <w:rPr>
            <w:color w:val="4338CA"/>
          </w:rPr>
          <w:t>[F037]</w:t>
        </w:r>
      </w:hyperlink>
      <w:hyperlink r:id="rId283">
        <w:r>
          <w:rPr>
            <w:color w:val="4338CA"/>
          </w:rPr>
          <w:t>[F038]</w:t>
        </w:r>
      </w:hyperlink>
    </w:p>
    <w:p>
      <w:pPr>
        <w:pStyle w:val="Heading2"/>
      </w:pPr>
      <w:r>
        <w:t>四家公司不是同一种“测试设备股”</w:t>
      </w:r>
    </w:p>
    <w:tbl>
      <w:tblPr>
        <w:tblW w:type="auto" w:w="0"/>
        <w:jc w:val="center"/>
        <w:tblLayout w:type="fixed"/>
        <w:tblLook w:firstColumn="1" w:firstRow="1" w:lastColumn="0" w:lastRow="0" w:noHBand="0" w:noVBand="1" w:val="04A0"/>
      </w:tblPr>
      <w:tblGrid>
        <w:gridCol w:w="1933"/>
        <w:gridCol w:w="3448"/>
        <w:gridCol w:w="4511"/>
      </w:tblGrid>
      <w:tr>
        <w:trPr>
          <w:tblHeader/>
        </w:trPr>
        <w:tc>
          <w:tcPr>
            <w:tcW w:type="dxa" w:w="1933"/>
            <w:vAlign w:val="top"/>
            <w:shd w:fill="E0E7FF"/>
          </w:tcPr>
          <w:p>
            <w:pPr>
              <w:spacing w:after="80" w:before="60" w:line="276" w:lineRule="auto"/>
            </w:pPr>
            <w:r>
              <w:rPr>
                <w:b/>
                <w:sz w:val="18"/>
              </w:rPr>
              <w:t>公司</w:t>
            </w:r>
          </w:p>
        </w:tc>
        <w:tc>
          <w:tcPr>
            <w:tcW w:type="dxa" w:w="3448"/>
            <w:vAlign w:val="top"/>
            <w:shd w:fill="E0E7FF"/>
          </w:tcPr>
          <w:p>
            <w:pPr>
              <w:spacing w:after="80" w:before="60" w:line="276" w:lineRule="auto"/>
            </w:pPr>
            <w:r>
              <w:rPr>
                <w:b/>
                <w:sz w:val="18"/>
              </w:rPr>
              <w:t>更准确的产业坐标</w:t>
            </w:r>
          </w:p>
        </w:tc>
        <w:tc>
          <w:tcPr>
            <w:tcW w:type="dxa" w:w="4511"/>
            <w:vAlign w:val="top"/>
            <w:shd w:fill="E0E7FF"/>
          </w:tcPr>
          <w:p>
            <w:pPr>
              <w:spacing w:after="80" w:before="60" w:line="276" w:lineRule="auto"/>
            </w:pPr>
            <w:r>
              <w:rPr>
                <w:b/>
                <w:sz w:val="18"/>
              </w:rPr>
              <w:t>可比/不可比事项</w:t>
            </w:r>
          </w:p>
        </w:tc>
      </w:tr>
      <w:tr>
        <w:trPr>
          <w:cantSplit/>
        </w:trPr>
        <w:tc>
          <w:tcPr>
            <w:tcW w:type="dxa" w:w="1933"/>
            <w:vAlign w:val="top"/>
          </w:tcPr>
          <w:p>
            <w:pPr>
              <w:spacing w:after="80" w:before="60" w:line="276" w:lineRule="auto"/>
            </w:pPr>
            <w:r>
              <w:rPr>
                <w:sz w:val="18"/>
              </w:rPr>
              <w:t>罗博特科/ficonTEC</w:t>
            </w:r>
          </w:p>
        </w:tc>
        <w:tc>
          <w:tcPr>
            <w:tcW w:type="dxa" w:w="3448"/>
            <w:vAlign w:val="top"/>
          </w:tcPr>
          <w:p>
            <w:pPr>
              <w:spacing w:after="80" w:before="60" w:line="276" w:lineRule="auto"/>
            </w:pPr>
            <w:r>
              <w:rPr>
                <w:sz w:val="18"/>
              </w:rPr>
              <w:t>光子微组装、对准贴装、电光器件/晶圆测试</w:t>
            </w:r>
          </w:p>
        </w:tc>
        <w:tc>
          <w:tcPr>
            <w:tcW w:type="dxa" w:w="4511"/>
            <w:vAlign w:val="top"/>
          </w:tcPr>
          <w:p>
            <w:pPr>
              <w:spacing w:after="80" w:before="60" w:line="276" w:lineRule="auto"/>
            </w:pPr>
            <w:r>
              <w:rPr>
                <w:sz w:val="18"/>
              </w:rPr>
              <w:t>与光子封装自动化及测试对接同行比；不能直接用 GPU 电测 ATE 的所有市场作其收入上限。</w:t>
            </w:r>
            <w:hyperlink r:id="rId238">
              <w:r>
                <w:rPr>
                  <w:color w:val="4338CA"/>
                </w:rPr>
                <w:t>[F036]</w:t>
              </w:r>
            </w:hyperlink>
            <w:hyperlink r:id="rId279">
              <w:r>
                <w:rPr>
                  <w:color w:val="4338CA"/>
                </w:rPr>
                <w:t>[F037]</w:t>
              </w:r>
            </w:hyperlink>
          </w:p>
        </w:tc>
      </w:tr>
      <w:tr>
        <w:trPr>
          <w:cantSplit/>
        </w:trPr>
        <w:tc>
          <w:tcPr>
            <w:tcW w:type="dxa" w:w="1933"/>
            <w:vAlign w:val="top"/>
          </w:tcPr>
          <w:p>
            <w:pPr>
              <w:spacing w:after="80" w:before="60" w:line="276" w:lineRule="auto"/>
            </w:pPr>
            <w:r>
              <w:rPr>
                <w:sz w:val="18"/>
              </w:rPr>
              <w:t>致茂 Chroma</w:t>
            </w:r>
          </w:p>
        </w:tc>
        <w:tc>
          <w:tcPr>
            <w:tcW w:type="dxa" w:w="3448"/>
            <w:vAlign w:val="top"/>
          </w:tcPr>
          <w:p>
            <w:pPr>
              <w:spacing w:after="80" w:before="60" w:line="276" w:lineRule="auto"/>
            </w:pPr>
            <w:r>
              <w:rPr>
                <w:sz w:val="18"/>
              </w:rPr>
              <w:t>SLT、高功率热控、handler/接触和 FT/burn-in 等验证生态</w:t>
            </w:r>
          </w:p>
        </w:tc>
        <w:tc>
          <w:tcPr>
            <w:tcW w:type="dxa" w:w="4511"/>
            <w:vAlign w:val="top"/>
          </w:tcPr>
          <w:p>
            <w:pPr>
              <w:spacing w:after="80" w:before="60" w:line="276" w:lineRule="auto"/>
            </w:pPr>
            <w:r>
              <w:rPr>
                <w:sz w:val="18"/>
              </w:rPr>
              <w:t>2026-08-24 官方发布明确此布局；本报告不把媒体所谓 NVIDIA 独家传闻扩大成所有 GPU 测试独家。</w:t>
            </w:r>
            <w:hyperlink r:id="rId235">
              <w:r>
                <w:rPr>
                  <w:color w:val="4338CA"/>
                </w:rPr>
                <w:t>[F035]</w:t>
              </w:r>
            </w:hyperlink>
          </w:p>
        </w:tc>
      </w:tr>
      <w:tr>
        <w:trPr>
          <w:cantSplit/>
        </w:trPr>
        <w:tc>
          <w:tcPr>
            <w:tcW w:type="dxa" w:w="1933"/>
            <w:vAlign w:val="top"/>
          </w:tcPr>
          <w:p>
            <w:pPr>
              <w:spacing w:after="80" w:before="60" w:line="276" w:lineRule="auto"/>
            </w:pPr>
            <w:r>
              <w:rPr>
                <w:sz w:val="18"/>
              </w:rPr>
              <w:t>芝浦机电 Shibaura Mechatronics</w:t>
            </w:r>
          </w:p>
        </w:tc>
        <w:tc>
          <w:tcPr>
            <w:tcW w:type="dxa" w:w="3448"/>
            <w:vAlign w:val="top"/>
          </w:tcPr>
          <w:p>
            <w:pPr>
              <w:spacing w:after="80" w:before="60" w:line="276" w:lineRule="auto"/>
            </w:pPr>
            <w:r>
              <w:rPr>
                <w:sz w:val="18"/>
              </w:rPr>
              <w:t>高精度贴片、2.5D/3D 与混合键合、清洗等</w:t>
            </w:r>
          </w:p>
        </w:tc>
        <w:tc>
          <w:tcPr>
            <w:tcW w:type="dxa" w:w="4511"/>
            <w:vAlign w:val="top"/>
          </w:tcPr>
          <w:p>
            <w:pPr>
              <w:spacing w:after="80" w:before="60" w:line="276" w:lineRule="auto"/>
            </w:pPr>
            <w:r>
              <w:rPr>
                <w:sz w:val="18"/>
              </w:rPr>
              <w:t>核心比较是键合精度、洁净、薄片处理和产能；不是和光子 BERT 直接竞争。</w:t>
            </w:r>
            <w:hyperlink r:id="rId231">
              <w:r>
                <w:rPr>
                  <w:color w:val="4338CA"/>
                </w:rPr>
                <w:t>[F031]</w:t>
              </w:r>
            </w:hyperlink>
            <w:hyperlink r:id="rId240">
              <w:r>
                <w:rPr>
                  <w:color w:val="4338CA"/>
                </w:rPr>
                <w:t>[F059]</w:t>
              </w:r>
            </w:hyperlink>
          </w:p>
        </w:tc>
      </w:tr>
      <w:tr>
        <w:trPr>
          <w:cantSplit/>
        </w:trPr>
        <w:tc>
          <w:tcPr>
            <w:tcW w:type="dxa" w:w="1933"/>
            <w:vAlign w:val="top"/>
          </w:tcPr>
          <w:p>
            <w:pPr>
              <w:spacing w:after="80" w:before="60" w:line="276" w:lineRule="auto"/>
            </w:pPr>
            <w:r>
              <w:rPr>
                <w:sz w:val="18"/>
              </w:rPr>
              <w:t>联讯 Semight</w:t>
            </w:r>
          </w:p>
        </w:tc>
        <w:tc>
          <w:tcPr>
            <w:tcW w:type="dxa" w:w="3448"/>
            <w:vAlign w:val="top"/>
          </w:tcPr>
          <w:p>
            <w:pPr>
              <w:spacing w:after="80" w:before="60" w:line="276" w:lineRule="auto"/>
            </w:pPr>
            <w:r>
              <w:rPr>
                <w:sz w:val="18"/>
              </w:rPr>
              <w:t>光通信/光芯片及半导体测试仪器与系统</w:t>
            </w:r>
          </w:p>
        </w:tc>
        <w:tc>
          <w:tcPr>
            <w:tcW w:type="dxa" w:w="4511"/>
            <w:vAlign w:val="top"/>
          </w:tcPr>
          <w:p>
            <w:pPr>
              <w:spacing w:after="80" w:before="60" w:line="276" w:lineRule="auto"/>
            </w:pPr>
            <w:r>
              <w:rPr>
                <w:sz w:val="18"/>
              </w:rPr>
              <w:t>本次公开目录确认有硅光晶圆测试方向；官网简介也列有 WAT、SMU、BERT 等；本次只取得搜索索引内容，未引用具体吞吐/精度、客户及份额。</w:t>
            </w:r>
            <w:hyperlink r:id="rId276">
              <w:r>
                <w:rPr>
                  <w:color w:val="4338CA"/>
                </w:rPr>
                <w:t>[F040]</w:t>
              </w:r>
            </w:hyperlink>
          </w:p>
        </w:tc>
      </w:tr>
    </w:tbl>
    <w:p>
      <w:pPr>
        <w:spacing w:after="0"/>
      </w:pPr>
    </w:p>
    <w:p>
      <w:pPr>
        <w:pStyle w:val="Heading2"/>
      </w:pPr>
      <w:r>
        <w:t>把技术故事落到可追踪指标</w:t>
      </w:r>
    </w:p>
    <w:p>
      <w:pPr/>
      <w:r>
        <w:t>本模块的季度跟踪重点是新工艺导入、客户验证转量产、有效 UPH/良率、验收周期，以及并购前后同口径的光电子业务变化。通用财务指标统一见“技术壁垒与投资验证”；罗博特科还需拆分光伏业务和跨国整合，避免混用集团与光子设备口径。</w:t>
      </w:r>
      <w:hyperlink r:id="rId283">
        <w:r>
          <w:rPr>
            <w:color w:val="4338CA"/>
          </w:rPr>
          <w:t>[F038]</w:t>
        </w:r>
      </w:hyperlink>
      <w:hyperlink r:id="rId235">
        <w:r>
          <w:rPr>
            <w:color w:val="4338CA"/>
          </w:rPr>
          <w:t>[F035]</w:t>
        </w:r>
      </w:hyperlink>
      <w:hyperlink r:id="rId231">
        <w:r>
          <w:rPr>
            <w:color w:val="4338CA"/>
          </w:rPr>
          <w:t>[F031]</w:t>
        </w:r>
      </w:hyperlink>
    </w:p>
    <w:p>
      <w:pPr/>
      <w:r>
        <w:t>参会时可以直接问：“你们能把什么失效模式从昂贵封装后提前到晶圆上发现？在同样良率和可靠性目标下，与客户原流程相比减少了哪一道测试、多少返工或多少设备？哪项数据可让我们证伪这一优势？”这种问法比“你们有 XYZ 吗”更能识别真实工艺能力。</w:t>
      </w:r>
      <w:hyperlink r:id="rId279">
        <w:r>
          <w:rPr>
            <w:color w:val="4338CA"/>
          </w:rPr>
          <w:t>[F037]</w:t>
        </w:r>
      </w:hyperlink>
      <w:hyperlink r:id="rId273">
        <w:r>
          <w:rPr>
            <w:color w:val="4338CA"/>
          </w:rPr>
          <w:t>[F034]</w:t>
        </w:r>
      </w:hyperlink>
    </w:p>
    <w:p>
      <w:pPr>
        <w:pStyle w:val="Heading1"/>
        <w:pageBreakBefore/>
      </w:pPr>
      <w:r>
        <w:t>08  计算架构与芯片设计</w:t>
      </w:r>
    </w:p>
    <w:p>
      <w:pPr>
        <w:pStyle w:val="Heading2"/>
      </w:pPr>
      <w:r>
        <w:t>先由工作负载选择硬件</w:t>
      </w:r>
    </w:p>
    <w:p>
      <w:pPr/>
      <w:r>
        <w:t>Roofline 的基本方法是同时比较计算峰值与“内存带宽 × 运算强度”。本报告进一步把网络通信、内存容量和尾延迟作为系统约束：提升其中一个上限，只有在它正好限制工作负载时才会提高有效吞吐量。这是工程分析框架，不是对某一类芯片永远优胜的判断。</w:t>
      </w:r>
      <w:hyperlink r:id="rId284">
        <w:r>
          <w:rPr>
            <w:color w:val="4338CA"/>
          </w:rPr>
          <w:t>[R011]</w:t>
        </w:r>
      </w:hyperlink>
    </w:p>
    <w:p>
      <w:pPr/>
      <w:r>
        <w:t>训练要保存与更新参数、梯度和优化器状态，涉及数据并行、张量并行、流水并行或专家并行。推理的 prefill 处理提示词，decode 逐步生成 token；其瓶颈会随 batch、上下文、模型结构、并行策略和内核实现变化，不能把“prefill 计算密集、decode 带宽密集”当作无条件定律。</w:t>
      </w:r>
      <w:hyperlink r:id="rId36">
        <w:r>
          <w:rPr>
            <w:color w:val="4338CA"/>
          </w:rPr>
          <w:t>[R013]</w:t>
        </w:r>
      </w:hyperlink>
      <w:hyperlink r:id="rId37">
        <w:r>
          <w:rPr>
            <w:color w:val="4338CA"/>
          </w:rPr>
          <w:t>[R014]</w:t>
        </w:r>
      </w:hyperlink>
    </w:p>
    <w:p>
      <w:pPr/>
      <w:r>
        <w:rPr>
          <w:b/>
        </w:rPr>
        <w:t>教学计算：</w:t>
      </w:r>
      <w:r>
        <w:t>70B 参数若全用 BF16 存储，权重约 140 GB，尚未计运行时、激活与 KV cache。若某假想模型有 80 层、8 个 KV heads、每 head 128 维，KV 用 2 字节、上下文 32,768、batch 8，则 KV 容量为 2 × 80 × 8 × 128 × 32,768 × 8 × 2 = 80 GiB。首个 2 表示 K 与 V。权重量化改变每权重的字节数，KV 量化改变每个 KV 元素的字节数，GQA/MQA 改变 KV head 数；这些是假定结构的算术，不代表任一厂商模型。</w:t>
      </w:r>
    </w:p>
    <w:p>
      <w:pPr>
        <w:pStyle w:val="Heading2"/>
      </w:pPr>
      <w:r>
        <w:t>各类处理器分工</w:t>
      </w:r>
    </w:p>
    <w:tbl>
      <w:tblPr>
        <w:tblW w:type="auto" w:w="0"/>
        <w:jc w:val="center"/>
        <w:tblLayout w:type="fixed"/>
        <w:tblLook w:firstColumn="1" w:firstRow="1" w:lastColumn="0" w:lastRow="0" w:noHBand="0" w:noVBand="1" w:val="04A0"/>
      </w:tblPr>
      <w:tblGrid>
        <w:gridCol w:w="962"/>
        <w:gridCol w:w="2084"/>
        <w:gridCol w:w="3801"/>
        <w:gridCol w:w="3046"/>
      </w:tblGrid>
      <w:tr>
        <w:trPr>
          <w:tblHeader/>
        </w:trPr>
        <w:tc>
          <w:tcPr>
            <w:tcW w:type="dxa" w:w="962"/>
            <w:vAlign w:val="top"/>
            <w:shd w:fill="E0E7FF"/>
          </w:tcPr>
          <w:p>
            <w:pPr>
              <w:spacing w:after="80" w:before="60" w:line="276" w:lineRule="auto"/>
            </w:pPr>
            <w:r>
              <w:rPr>
                <w:b/>
                <w:sz w:val="18"/>
              </w:rPr>
              <w:t>类别</w:t>
            </w:r>
          </w:p>
        </w:tc>
        <w:tc>
          <w:tcPr>
            <w:tcW w:type="dxa" w:w="2084"/>
            <w:vAlign w:val="top"/>
            <w:shd w:fill="E0E7FF"/>
          </w:tcPr>
          <w:p>
            <w:pPr>
              <w:spacing w:after="80" w:before="60" w:line="276" w:lineRule="auto"/>
            </w:pPr>
            <w:r>
              <w:rPr>
                <w:b/>
                <w:sz w:val="18"/>
              </w:rPr>
              <w:t>主要能力</w:t>
            </w:r>
          </w:p>
        </w:tc>
        <w:tc>
          <w:tcPr>
            <w:tcW w:type="dxa" w:w="3801"/>
            <w:vAlign w:val="top"/>
            <w:shd w:fill="E0E7FF"/>
          </w:tcPr>
          <w:p>
            <w:pPr>
              <w:spacing w:after="80" w:before="60" w:line="276" w:lineRule="auto"/>
            </w:pPr>
            <w:r>
              <w:rPr>
                <w:b/>
                <w:sz w:val="18"/>
              </w:rPr>
              <w:t>需要哪些配套</w:t>
            </w:r>
          </w:p>
        </w:tc>
        <w:tc>
          <w:tcPr>
            <w:tcW w:type="dxa" w:w="3046"/>
            <w:vAlign w:val="top"/>
            <w:shd w:fill="E0E7FF"/>
          </w:tcPr>
          <w:p>
            <w:pPr>
              <w:spacing w:after="80" w:before="60" w:line="276" w:lineRule="auto"/>
            </w:pPr>
            <w:r>
              <w:rPr>
                <w:b/>
                <w:sz w:val="18"/>
              </w:rPr>
              <w:t>投资研究应追问</w:t>
            </w:r>
          </w:p>
        </w:tc>
      </w:tr>
      <w:tr>
        <w:trPr>
          <w:cantSplit/>
        </w:trPr>
        <w:tc>
          <w:tcPr>
            <w:tcW w:type="dxa" w:w="962"/>
            <w:vAlign w:val="top"/>
          </w:tcPr>
          <w:p>
            <w:pPr>
              <w:spacing w:after="80" w:before="60" w:line="276" w:lineRule="auto"/>
            </w:pPr>
            <w:r>
              <w:rPr>
                <w:sz w:val="18"/>
              </w:rPr>
              <w:t>CPU</w:t>
            </w:r>
          </w:p>
        </w:tc>
        <w:tc>
          <w:tcPr>
            <w:tcW w:type="dxa" w:w="2084"/>
            <w:vAlign w:val="top"/>
          </w:tcPr>
          <w:p>
            <w:pPr>
              <w:spacing w:after="80" w:before="60" w:line="276" w:lineRule="auto"/>
            </w:pPr>
            <w:r>
              <w:rPr>
                <w:sz w:val="18"/>
              </w:rPr>
              <w:t>通用控制、系统与工具执行、数据预处理</w:t>
            </w:r>
          </w:p>
        </w:tc>
        <w:tc>
          <w:tcPr>
            <w:tcW w:type="dxa" w:w="3801"/>
            <w:vAlign w:val="top"/>
          </w:tcPr>
          <w:p>
            <w:pPr>
              <w:spacing w:after="80" w:before="60" w:line="276" w:lineRule="auto"/>
            </w:pPr>
            <w:r>
              <w:rPr>
                <w:sz w:val="18"/>
              </w:rPr>
              <w:t>DDR、缓存、PCIe、编译器、OS</w:t>
            </w:r>
          </w:p>
        </w:tc>
        <w:tc>
          <w:tcPr>
            <w:tcW w:type="dxa" w:w="3046"/>
            <w:vAlign w:val="top"/>
          </w:tcPr>
          <w:p>
            <w:pPr>
              <w:spacing w:after="80" w:before="60" w:line="276" w:lineRule="auto"/>
            </w:pPr>
            <w:r>
              <w:rPr>
                <w:sz w:val="18"/>
              </w:rPr>
              <w:t>agent 工作流增加的是核心数、单核能力还是内存带宽</w:t>
            </w:r>
          </w:p>
        </w:tc>
      </w:tr>
      <w:tr>
        <w:trPr>
          <w:cantSplit/>
        </w:trPr>
        <w:tc>
          <w:tcPr>
            <w:tcW w:type="dxa" w:w="962"/>
            <w:vAlign w:val="top"/>
          </w:tcPr>
          <w:p>
            <w:pPr>
              <w:spacing w:after="80" w:before="60" w:line="276" w:lineRule="auto"/>
            </w:pPr>
            <w:r>
              <w:rPr>
                <w:sz w:val="18"/>
              </w:rPr>
              <w:t>GPU</w:t>
            </w:r>
          </w:p>
        </w:tc>
        <w:tc>
          <w:tcPr>
            <w:tcW w:type="dxa" w:w="2084"/>
            <w:vAlign w:val="top"/>
          </w:tcPr>
          <w:p>
            <w:pPr>
              <w:spacing w:after="80" w:before="60" w:line="276" w:lineRule="auto"/>
            </w:pPr>
            <w:r>
              <w:rPr>
                <w:sz w:val="18"/>
              </w:rPr>
              <w:t>高并行计算与可编程矩阵运算</w:t>
            </w:r>
          </w:p>
        </w:tc>
        <w:tc>
          <w:tcPr>
            <w:tcW w:type="dxa" w:w="3801"/>
            <w:vAlign w:val="top"/>
          </w:tcPr>
          <w:p>
            <w:pPr>
              <w:spacing w:after="80" w:before="60" w:line="276" w:lineRule="auto"/>
            </w:pPr>
            <w:r>
              <w:rPr>
                <w:sz w:val="18"/>
              </w:rPr>
              <w:t>HBM 或 GDDR 等显存（依型号）、封装、互联、编译器与内核</w:t>
            </w:r>
          </w:p>
        </w:tc>
        <w:tc>
          <w:tcPr>
            <w:tcW w:type="dxa" w:w="3046"/>
            <w:vAlign w:val="top"/>
          </w:tcPr>
          <w:p>
            <w:pPr>
              <w:spacing w:after="80" w:before="60" w:line="276" w:lineRule="auto"/>
            </w:pPr>
            <w:r>
              <w:rPr>
                <w:sz w:val="18"/>
              </w:rPr>
              <w:t>同模型/SLA 下的利用率、显存占用与每瓦有效输出</w:t>
            </w:r>
          </w:p>
        </w:tc>
      </w:tr>
      <w:tr>
        <w:trPr>
          <w:cantSplit/>
        </w:trPr>
        <w:tc>
          <w:tcPr>
            <w:tcW w:type="dxa" w:w="962"/>
            <w:vAlign w:val="top"/>
          </w:tcPr>
          <w:p>
            <w:pPr>
              <w:spacing w:after="80" w:before="60" w:line="276" w:lineRule="auto"/>
            </w:pPr>
            <w:r>
              <w:rPr>
                <w:sz w:val="18"/>
              </w:rPr>
              <w:t>TPU/自研 ASIC</w:t>
            </w:r>
          </w:p>
        </w:tc>
        <w:tc>
          <w:tcPr>
            <w:tcW w:type="dxa" w:w="2084"/>
            <w:vAlign w:val="top"/>
          </w:tcPr>
          <w:p>
            <w:pPr>
              <w:spacing w:after="80" w:before="60" w:line="276" w:lineRule="auto"/>
            </w:pPr>
            <w:r>
              <w:rPr>
                <w:sz w:val="18"/>
              </w:rPr>
              <w:t>对目标工作负载进行架构与系统协同</w:t>
            </w:r>
          </w:p>
        </w:tc>
        <w:tc>
          <w:tcPr>
            <w:tcW w:type="dxa" w:w="3801"/>
            <w:vAlign w:val="top"/>
          </w:tcPr>
          <w:p>
            <w:pPr>
              <w:spacing w:after="80" w:before="60" w:line="276" w:lineRule="auto"/>
            </w:pPr>
            <w:r>
              <w:rPr>
                <w:sz w:val="18"/>
              </w:rPr>
              <w:t>编译器、算子覆盖、集群互联和长期软件投入</w:t>
            </w:r>
          </w:p>
        </w:tc>
        <w:tc>
          <w:tcPr>
            <w:tcW w:type="dxa" w:w="3046"/>
            <w:vAlign w:val="top"/>
          </w:tcPr>
          <w:p>
            <w:pPr>
              <w:spacing w:after="80" w:before="60" w:line="276" w:lineRule="auto"/>
            </w:pPr>
            <w:r>
              <w:rPr>
                <w:sz w:val="18"/>
              </w:rPr>
              <w:t>芯片收益能否抵过迁移、验证和维护成本</w:t>
            </w:r>
          </w:p>
        </w:tc>
      </w:tr>
      <w:tr>
        <w:trPr>
          <w:cantSplit/>
        </w:trPr>
        <w:tc>
          <w:tcPr>
            <w:tcW w:type="dxa" w:w="962"/>
            <w:vAlign w:val="top"/>
          </w:tcPr>
          <w:p>
            <w:pPr>
              <w:spacing w:after="80" w:before="60" w:line="276" w:lineRule="auto"/>
            </w:pPr>
            <w:r>
              <w:rPr>
                <w:sz w:val="18"/>
              </w:rPr>
              <w:t>FPGA</w:t>
            </w:r>
          </w:p>
        </w:tc>
        <w:tc>
          <w:tcPr>
            <w:tcW w:type="dxa" w:w="2084"/>
            <w:vAlign w:val="top"/>
          </w:tcPr>
          <w:p>
            <w:pPr>
              <w:spacing w:after="80" w:before="60" w:line="276" w:lineRule="auto"/>
            </w:pPr>
            <w:r>
              <w:rPr>
                <w:sz w:val="18"/>
              </w:rPr>
              <w:t>可重配逻辑、接口与实时数据通路</w:t>
            </w:r>
          </w:p>
        </w:tc>
        <w:tc>
          <w:tcPr>
            <w:tcW w:type="dxa" w:w="3801"/>
            <w:vAlign w:val="top"/>
          </w:tcPr>
          <w:p>
            <w:pPr>
              <w:spacing w:after="80" w:before="60" w:line="276" w:lineRule="auto"/>
            </w:pPr>
            <w:r>
              <w:rPr>
                <w:sz w:val="18"/>
              </w:rPr>
              <w:t>RTL/HLS、时序收敛、片上 RAM、收发器</w:t>
            </w:r>
          </w:p>
        </w:tc>
        <w:tc>
          <w:tcPr>
            <w:tcW w:type="dxa" w:w="3046"/>
            <w:vAlign w:val="top"/>
          </w:tcPr>
          <w:p>
            <w:pPr>
              <w:spacing w:after="80" w:before="60" w:line="276" w:lineRule="auto"/>
            </w:pPr>
            <w:r>
              <w:rPr>
                <w:sz w:val="18"/>
              </w:rPr>
              <w:t>实时性与灵活性是否比极致密度更重要</w:t>
            </w:r>
          </w:p>
        </w:tc>
      </w:tr>
      <w:tr>
        <w:trPr>
          <w:cantSplit/>
        </w:trPr>
        <w:tc>
          <w:tcPr>
            <w:tcW w:type="dxa" w:w="962"/>
            <w:vAlign w:val="top"/>
          </w:tcPr>
          <w:p>
            <w:pPr>
              <w:spacing w:after="80" w:before="60" w:line="276" w:lineRule="auto"/>
            </w:pPr>
            <w:r>
              <w:rPr>
                <w:sz w:val="18"/>
              </w:rPr>
              <w:t>DPU/SmartNIC</w:t>
            </w:r>
          </w:p>
        </w:tc>
        <w:tc>
          <w:tcPr>
            <w:tcW w:type="dxa" w:w="2084"/>
            <w:vAlign w:val="top"/>
          </w:tcPr>
          <w:p>
            <w:pPr>
              <w:spacing w:after="80" w:before="60" w:line="276" w:lineRule="auto"/>
            </w:pPr>
            <w:r>
              <w:rPr>
                <w:sz w:val="18"/>
              </w:rPr>
              <w:t>网络、存储、安全等基础设施处理</w:t>
            </w:r>
          </w:p>
        </w:tc>
        <w:tc>
          <w:tcPr>
            <w:tcW w:type="dxa" w:w="3801"/>
            <w:vAlign w:val="top"/>
          </w:tcPr>
          <w:p>
            <w:pPr>
              <w:spacing w:after="80" w:before="60" w:line="276" w:lineRule="auto"/>
            </w:pPr>
            <w:r>
              <w:rPr>
                <w:sz w:val="18"/>
              </w:rPr>
              <w:t>NIC、可编程核和/或专用加速单元、驱动与服务框架</w:t>
            </w:r>
          </w:p>
        </w:tc>
        <w:tc>
          <w:tcPr>
            <w:tcW w:type="dxa" w:w="3046"/>
            <w:vAlign w:val="top"/>
          </w:tcPr>
          <w:p>
            <w:pPr>
              <w:spacing w:after="80" w:before="60" w:line="276" w:lineRule="auto"/>
            </w:pPr>
            <w:r>
              <w:rPr>
                <w:sz w:val="18"/>
              </w:rPr>
              <w:t>真正卸载多少主机开销，是否新增维护复杂度</w:t>
            </w:r>
          </w:p>
        </w:tc>
      </w:tr>
      <w:tr>
        <w:trPr>
          <w:cantSplit/>
        </w:trPr>
        <w:tc>
          <w:tcPr>
            <w:tcW w:type="dxa" w:w="962"/>
            <w:vAlign w:val="top"/>
          </w:tcPr>
          <w:p>
            <w:pPr>
              <w:spacing w:after="80" w:before="60" w:line="276" w:lineRule="auto"/>
            </w:pPr>
            <w:r>
              <w:rPr>
                <w:sz w:val="18"/>
              </w:rPr>
              <w:t>光模块 DSP</w:t>
            </w:r>
          </w:p>
        </w:tc>
        <w:tc>
          <w:tcPr>
            <w:tcW w:type="dxa" w:w="2084"/>
            <w:vAlign w:val="top"/>
          </w:tcPr>
          <w:p>
            <w:pPr>
              <w:spacing w:after="80" w:before="60" w:line="276" w:lineRule="auto"/>
            </w:pPr>
            <w:r>
              <w:rPr>
                <w:sz w:val="18"/>
              </w:rPr>
              <w:t>高速链路的电信号处理</w:t>
            </w:r>
          </w:p>
        </w:tc>
        <w:tc>
          <w:tcPr>
            <w:tcW w:type="dxa" w:w="3801"/>
            <w:vAlign w:val="top"/>
          </w:tcPr>
          <w:p>
            <w:pPr>
              <w:spacing w:after="80" w:before="60" w:line="276" w:lineRule="auto"/>
            </w:pPr>
            <w:r>
              <w:rPr>
                <w:sz w:val="18"/>
              </w:rPr>
              <w:t>ADC/DAC或相应模拟链路与均衡；FEC按架构可在主机PCS或相干DSP等位置实现</w:t>
            </w:r>
          </w:p>
        </w:tc>
        <w:tc>
          <w:tcPr>
            <w:tcW w:type="dxa" w:w="3046"/>
            <w:vAlign w:val="top"/>
          </w:tcPr>
          <w:p>
            <w:pPr>
              <w:spacing w:after="80" w:before="60" w:line="276" w:lineRule="auto"/>
            </w:pPr>
            <w:r>
              <w:rPr>
                <w:sz w:val="18"/>
              </w:rPr>
              <w:t>端口速率提高后功耗、可达距离及误码要求</w:t>
            </w:r>
          </w:p>
        </w:tc>
      </w:tr>
    </w:tbl>
    <w:p>
      <w:pPr>
        <w:spacing w:after="0"/>
      </w:pPr>
    </w:p>
    <w:p>
      <w:pPr/>
      <w:r>
        <w:t>以上按功能划分，具体实现可以重叠。</w:t>
      </w:r>
      <w:hyperlink r:id="rId11">
        <w:r>
          <w:rPr>
            <w:color w:val="4338CA"/>
          </w:rPr>
          <w:t>[R004]</w:t>
        </w:r>
      </w:hyperlink>
      <w:hyperlink r:id="rId43">
        <w:r>
          <w:rPr>
            <w:color w:val="4338CA"/>
          </w:rPr>
          <w:t>[R006]</w:t>
        </w:r>
      </w:hyperlink>
      <w:hyperlink r:id="rId285">
        <w:r>
          <w:rPr>
            <w:color w:val="4338CA"/>
          </w:rPr>
          <w:t>[R015]</w:t>
        </w:r>
      </w:hyperlink>
      <w:hyperlink r:id="rId286">
        <w:r>
          <w:rPr>
            <w:color w:val="4338CA"/>
          </w:rPr>
          <w:t>[R016]</w:t>
        </w:r>
      </w:hyperlink>
      <w:hyperlink r:id="rId287">
        <w:r>
          <w:rPr>
            <w:color w:val="4338CA"/>
          </w:rPr>
          <w:t>[R019]</w:t>
        </w:r>
      </w:hyperlink>
      <w:hyperlink r:id="rId85">
        <w:r>
          <w:rPr>
            <w:color w:val="4338CA"/>
          </w:rPr>
          <w:t>[N027]</w:t>
        </w:r>
      </w:hyperlink>
      <w:hyperlink r:id="rId86">
        <w:r>
          <w:rPr>
            <w:color w:val="4338CA"/>
          </w:rPr>
          <w:t>[N065]</w:t>
        </w:r>
      </w:hyperlink>
      <w:hyperlink r:id="rId87">
        <w:r>
          <w:rPr>
            <w:color w:val="4338CA"/>
          </w:rPr>
          <w:t>[N090]</w:t>
        </w:r>
      </w:hyperlink>
      <w:r>
        <w:t xml:space="preserve"> DPU 用于基础设施卸载，DSP 用于信号处理，两者应分别辨识。光 I/O 已有与计算芯片共封装或邻近集成的方案及演示，具体量产依平台核实；光模块通常不等同于一颗 CPU。</w:t>
      </w:r>
      <w:hyperlink r:id="rId110">
        <w:r>
          <w:rPr>
            <w:color w:val="4338CA"/>
          </w:rPr>
          <w:t>[N037]</w:t>
        </w:r>
      </w:hyperlink>
      <w:hyperlink r:id="rId142">
        <w:r>
          <w:rPr>
            <w:color w:val="4338CA"/>
          </w:rPr>
          <w:t>[N080]</w:t>
        </w:r>
      </w:hyperlink>
    </w:p>
    <w:p>
      <w:pPr>
        <w:pStyle w:val="Heading2"/>
      </w:pPr>
      <w:r>
        <w:t>最新系统规格的正确读法</w:t>
      </w:r>
    </w:p>
    <w:tbl>
      <w:tblPr>
        <w:tblW w:type="auto" w:w="0"/>
        <w:jc w:val="center"/>
        <w:tblLayout w:type="fixed"/>
        <w:tblLook w:firstColumn="1" w:firstRow="1" w:lastColumn="0" w:lastRow="0" w:noHBand="0" w:noVBand="1" w:val="04A0"/>
      </w:tblPr>
      <w:tblGrid>
        <w:gridCol w:w="1746"/>
        <w:gridCol w:w="4074"/>
        <w:gridCol w:w="4074"/>
      </w:tblGrid>
      <w:tr>
        <w:trPr>
          <w:tblHeader/>
        </w:trPr>
        <w:tc>
          <w:tcPr>
            <w:tcW w:type="dxa" w:w="1746"/>
            <w:vAlign w:val="top"/>
            <w:shd w:fill="E0E7FF"/>
          </w:tcPr>
          <w:p>
            <w:pPr>
              <w:spacing w:after="80" w:before="60" w:line="276" w:lineRule="auto"/>
            </w:pPr>
            <w:r>
              <w:rPr>
                <w:b/>
                <w:sz w:val="18"/>
              </w:rPr>
              <w:t>平台</w:t>
            </w:r>
          </w:p>
        </w:tc>
        <w:tc>
          <w:tcPr>
            <w:tcW w:type="dxa" w:w="4074"/>
            <w:vAlign w:val="top"/>
            <w:shd w:fill="E0E7FF"/>
          </w:tcPr>
          <w:p>
            <w:pPr>
              <w:spacing w:after="80" w:before="60" w:line="276" w:lineRule="auto"/>
            </w:pPr>
            <w:r>
              <w:rPr>
                <w:b/>
                <w:sz w:val="18"/>
              </w:rPr>
              <w:t>截止日可核资料</w:t>
            </w:r>
          </w:p>
        </w:tc>
        <w:tc>
          <w:tcPr>
            <w:tcW w:type="dxa" w:w="4074"/>
            <w:vAlign w:val="top"/>
            <w:shd w:fill="E0E7FF"/>
          </w:tcPr>
          <w:p>
            <w:pPr>
              <w:spacing w:after="80" w:before="60" w:line="276" w:lineRule="auto"/>
            </w:pPr>
            <w:r>
              <w:rPr>
                <w:b/>
                <w:sz w:val="18"/>
              </w:rPr>
              <w:t>证据阶段与比较边界</w:t>
            </w:r>
          </w:p>
        </w:tc>
      </w:tr>
      <w:tr>
        <w:trPr>
          <w:cantSplit/>
        </w:trPr>
        <w:tc>
          <w:tcPr>
            <w:tcW w:type="dxa" w:w="1746"/>
            <w:vAlign w:val="top"/>
          </w:tcPr>
          <w:p>
            <w:pPr>
              <w:spacing w:after="80" w:before="60" w:line="276" w:lineRule="auto"/>
            </w:pPr>
            <w:r>
              <w:rPr>
                <w:sz w:val="18"/>
              </w:rPr>
              <w:t>NVIDIA Vera Rubin NVL72</w:t>
            </w:r>
          </w:p>
        </w:tc>
        <w:tc>
          <w:tcPr>
            <w:tcW w:type="dxa" w:w="4074"/>
            <w:vAlign w:val="top"/>
          </w:tcPr>
          <w:p>
            <w:pPr>
              <w:spacing w:after="80" w:before="60" w:line="276" w:lineRule="auto"/>
            </w:pPr>
            <w:r>
              <w:rPr>
                <w:sz w:val="18"/>
              </w:rPr>
              <w:t>官方发布列 72 Rubin GPU、36 Vera CPU，并配 NVLink 6、ConnectX-9 与 BlueField-4</w:t>
            </w:r>
          </w:p>
        </w:tc>
        <w:tc>
          <w:tcPr>
            <w:tcW w:type="dxa" w:w="4074"/>
            <w:vAlign w:val="top"/>
          </w:tcPr>
          <w:p>
            <w:pPr>
              <w:spacing w:after="80" w:before="60" w:line="276" w:lineRule="auto"/>
            </w:pPr>
            <w:r>
              <w:rPr>
                <w:sz w:val="18"/>
              </w:rPr>
              <w:t>2026-03-16 称芯片进入 full production，伙伴产品从 2026 下半年提供；不能据此认定每家云和每一区域已经部署。</w:t>
            </w:r>
            <w:hyperlink r:id="rId11">
              <w:r>
                <w:rPr>
                  <w:color w:val="4338CA"/>
                </w:rPr>
                <w:t>[R004]</w:t>
              </w:r>
            </w:hyperlink>
          </w:p>
        </w:tc>
      </w:tr>
      <w:tr>
        <w:trPr>
          <w:cantSplit/>
        </w:trPr>
        <w:tc>
          <w:tcPr>
            <w:tcW w:type="dxa" w:w="1746"/>
            <w:vAlign w:val="top"/>
          </w:tcPr>
          <w:p>
            <w:pPr>
              <w:spacing w:after="80" w:before="60" w:line="276" w:lineRule="auto"/>
            </w:pPr>
            <w:r>
              <w:rPr>
                <w:sz w:val="18"/>
              </w:rPr>
              <w:t>AMD MI455X / Helios</w:t>
            </w:r>
          </w:p>
        </w:tc>
        <w:tc>
          <w:tcPr>
            <w:tcW w:type="dxa" w:w="4074"/>
            <w:vAlign w:val="top"/>
          </w:tcPr>
          <w:p>
            <w:pPr>
              <w:spacing w:after="80" w:before="60" w:line="276" w:lineRule="auto"/>
            </w:pPr>
            <w:r>
              <w:rPr>
                <w:sz w:val="18"/>
              </w:rPr>
              <w:t>产品页列每 GPU 432 GB HBM4、23.3 TB/s 理论内存带宽；Helios 为 72 GPU 参考设计</w:t>
            </w:r>
          </w:p>
        </w:tc>
        <w:tc>
          <w:tcPr>
            <w:tcW w:type="dxa" w:w="4074"/>
            <w:vAlign w:val="top"/>
          </w:tcPr>
          <w:p>
            <w:pPr>
              <w:spacing w:after="80" w:before="60" w:line="276" w:lineRule="auto"/>
            </w:pPr>
            <w:r>
              <w:rPr>
                <w:sz w:val="18"/>
              </w:rPr>
              <w:t>页面给出工程测算和 2026 下半年部署预期；实际整机配置及可购性由 OEM/云验证。</w:t>
            </w:r>
            <w:hyperlink r:id="rId12">
              <w:r>
                <w:rPr>
                  <w:color w:val="4338CA"/>
                </w:rPr>
                <w:t>[R005]</w:t>
              </w:r>
            </w:hyperlink>
          </w:p>
        </w:tc>
      </w:tr>
      <w:tr>
        <w:trPr>
          <w:cantSplit/>
        </w:trPr>
        <w:tc>
          <w:tcPr>
            <w:tcW w:type="dxa" w:w="1746"/>
            <w:vAlign w:val="top"/>
          </w:tcPr>
          <w:p>
            <w:pPr>
              <w:spacing w:after="80" w:before="60" w:line="276" w:lineRule="auto"/>
            </w:pPr>
            <w:r>
              <w:rPr>
                <w:sz w:val="18"/>
              </w:rPr>
              <w:t>Google TPU7x Ironwood</w:t>
            </w:r>
          </w:p>
        </w:tc>
        <w:tc>
          <w:tcPr>
            <w:tcW w:type="dxa" w:w="4074"/>
            <w:vAlign w:val="top"/>
          </w:tcPr>
          <w:p>
            <w:pPr>
              <w:spacing w:after="80" w:before="60" w:line="276" w:lineRule="auto"/>
            </w:pPr>
            <w:r>
              <w:rPr>
                <w:sz w:val="18"/>
              </w:rPr>
              <w:t>规范表列每芯片 HBM 192 GiB、HBM 带宽 7,380 GB/s、双向 ICI 1,200 GB/s</w:t>
            </w:r>
          </w:p>
        </w:tc>
        <w:tc>
          <w:tcPr>
            <w:tcW w:type="dxa" w:w="4074"/>
            <w:vAlign w:val="top"/>
          </w:tcPr>
          <w:p>
            <w:pPr>
              <w:spacing w:after="80" w:before="60" w:line="276" w:lineRule="auto"/>
            </w:pPr>
            <w:r>
              <w:rPr>
                <w:sz w:val="18"/>
              </w:rPr>
              <w:t>GB/s 与 Gb/s、GiB 与 GB 不能混用；ICI 与 DCN 是不同网络。规范不是自有硬件零售报价。</w:t>
            </w:r>
            <w:hyperlink r:id="rId43">
              <w:r>
                <w:rPr>
                  <w:color w:val="4338CA"/>
                </w:rPr>
                <w:t>[R006]</w:t>
              </w:r>
            </w:hyperlink>
          </w:p>
        </w:tc>
      </w:tr>
      <w:tr>
        <w:trPr>
          <w:cantSplit/>
        </w:trPr>
        <w:tc>
          <w:tcPr>
            <w:tcW w:type="dxa" w:w="1746"/>
            <w:vAlign w:val="top"/>
          </w:tcPr>
          <w:p>
            <w:pPr>
              <w:spacing w:after="80" w:before="60" w:line="276" w:lineRule="auto"/>
            </w:pPr>
            <w:r>
              <w:rPr>
                <w:sz w:val="18"/>
              </w:rPr>
              <w:t>AWS Trn3 UltraServer</w:t>
            </w:r>
          </w:p>
        </w:tc>
        <w:tc>
          <w:tcPr>
            <w:tcW w:type="dxa" w:w="4074"/>
            <w:vAlign w:val="top"/>
          </w:tcPr>
          <w:p>
            <w:pPr>
              <w:spacing w:after="80" w:before="60" w:line="276" w:lineRule="auto"/>
            </w:pPr>
            <w:r>
              <w:rPr>
                <w:sz w:val="18"/>
              </w:rPr>
              <w:t>AWS 产品页说明 Trainium3 与 UltraServer 的集成方式</w:t>
            </w:r>
          </w:p>
        </w:tc>
        <w:tc>
          <w:tcPr>
            <w:tcW w:type="dxa" w:w="4074"/>
            <w:vAlign w:val="top"/>
          </w:tcPr>
          <w:p>
            <w:pPr>
              <w:spacing w:after="80" w:before="60" w:line="276" w:lineRule="auto"/>
            </w:pPr>
            <w:r>
              <w:rPr>
                <w:sz w:val="18"/>
              </w:rPr>
              <w:t>比较对象应是可取得的云实例、软件栈和端到端成本；不能把云价格等同芯片制造成本。</w:t>
            </w:r>
            <w:hyperlink r:id="rId285">
              <w:r>
                <w:rPr>
                  <w:color w:val="4338CA"/>
                </w:rPr>
                <w:t>[R015]</w:t>
              </w:r>
            </w:hyperlink>
          </w:p>
        </w:tc>
      </w:tr>
      <w:tr>
        <w:trPr>
          <w:cantSplit/>
        </w:trPr>
        <w:tc>
          <w:tcPr>
            <w:tcW w:type="dxa" w:w="1746"/>
            <w:vAlign w:val="top"/>
          </w:tcPr>
          <w:p>
            <w:pPr>
              <w:spacing w:after="80" w:before="60" w:line="276" w:lineRule="auto"/>
            </w:pPr>
            <w:r>
              <w:rPr>
                <w:sz w:val="18"/>
              </w:rPr>
              <w:t>Cerebras WSE-3 / CS-3</w:t>
            </w:r>
          </w:p>
        </w:tc>
        <w:tc>
          <w:tcPr>
            <w:tcW w:type="dxa" w:w="4074"/>
            <w:vAlign w:val="top"/>
          </w:tcPr>
          <w:p>
            <w:pPr>
              <w:spacing w:after="80" w:before="60" w:line="276" w:lineRule="auto"/>
            </w:pPr>
            <w:r>
              <w:rPr>
                <w:sz w:val="18"/>
              </w:rPr>
              <w:t>官方 WSE-3 材料列 900,000 核、44 GB 片上 SRAM</w:t>
            </w:r>
          </w:p>
        </w:tc>
        <w:tc>
          <w:tcPr>
            <w:tcW w:type="dxa" w:w="4074"/>
            <w:vAlign w:val="top"/>
          </w:tcPr>
          <w:p>
            <w:pPr>
              <w:spacing w:after="80" w:before="60" w:line="276" w:lineRule="auto"/>
            </w:pPr>
            <w:r>
              <w:rPr>
                <w:sz w:val="18"/>
              </w:rPr>
              <w:t>晶圆级系统的内存层级与 GPU 不同；片上容量、外部参数存储和可运行模型规模不能混为一谈。</w:t>
            </w:r>
            <w:hyperlink r:id="rId288">
              <w:r>
                <w:rPr>
                  <w:color w:val="4338CA"/>
                </w:rPr>
                <w:t>[R007]</w:t>
              </w:r>
            </w:hyperlink>
          </w:p>
        </w:tc>
      </w:tr>
    </w:tbl>
    <w:p>
      <w:pPr>
        <w:spacing w:after="0"/>
      </w:pPr>
    </w:p>
    <w:p>
      <w:pPr/>
      <w:r>
        <w:t>不同文件可能修订规格，例如某些 Rubin 数据表与技术博客对聚合带宽的数字或口径不同。本报告不挑最高数字拼成一个“超级配置”；使用某个型号的规格时，应保存具体文档版本，并向供应商取得最终配置表。</w:t>
      </w:r>
      <w:hyperlink r:id="rId11">
        <w:r>
          <w:rPr>
            <w:color w:val="4338CA"/>
          </w:rPr>
          <w:t>[R004]</w:t>
        </w:r>
      </w:hyperlink>
      <w:hyperlink r:id="rId289">
        <w:r>
          <w:rPr>
            <w:color w:val="4338CA"/>
          </w:rPr>
          <w:t>[R032]</w:t>
        </w:r>
      </w:hyperlink>
    </w:p>
    <w:p>
      <w:pPr>
        <w:pStyle w:val="Heading2"/>
      </w:pPr>
      <w:r>
        <w:t>供应链中的设计工作</w:t>
      </w:r>
    </w:p>
    <w:p>
      <w:pPr/>
      <w:r>
        <w:t>芯片从需求进入架构、RTL/IP 集成、功能验证、综合、布局布线、时序/功耗/物理验证，再到 tape-out；封装、电源和热设计需要更早协同。EDA 是设计与验证工具，foundry PDK 描述可制造规则，IP 是可集成的电路设计资产，三者都不能替代最终硅验证。</w:t>
      </w:r>
      <w:hyperlink r:id="rId290">
        <w:r>
          <w:rPr>
            <w:color w:val="4338CA"/>
          </w:rPr>
          <w:t>[R017]</w:t>
        </w:r>
      </w:hyperlink>
      <w:hyperlink r:id="rId291">
        <w:r>
          <w:rPr>
            <w:color w:val="4338CA"/>
          </w:rPr>
          <w:t>[R018]</w:t>
        </w:r>
      </w:hyperlink>
      <w:hyperlink r:id="rId287">
        <w:r>
          <w:rPr>
            <w:color w:val="4338CA"/>
          </w:rPr>
          <w:t>[R019]</w:t>
        </w:r>
      </w:hyperlink>
    </w:p>
    <w:p>
      <w:pPr/>
      <w:r>
        <w:t>Synopsys DSO.ai 使用 AI 探索设计空间并优化 PPA；Cadence Cerebrus 提供设计流程优化；Siemens Calibre PERC 的核心是电路与版图相关的可靠性验证。它们针对不同任务，不能用“会生成 RTL”统一评价。判断 AI EDA 价值时应固定设计、工艺、约束和人工基线，衡量达到 signoff 的时间、质量与重现性。</w:t>
      </w:r>
      <w:hyperlink r:id="rId290">
        <w:r>
          <w:rPr>
            <w:color w:val="4338CA"/>
          </w:rPr>
          <w:t>[R017]</w:t>
        </w:r>
      </w:hyperlink>
      <w:hyperlink r:id="rId291">
        <w:r>
          <w:rPr>
            <w:color w:val="4338CA"/>
          </w:rPr>
          <w:t>[R018]</w:t>
        </w:r>
      </w:hyperlink>
      <w:hyperlink r:id="rId287">
        <w:r>
          <w:rPr>
            <w:color w:val="4338CA"/>
          </w:rPr>
          <w:t>[R019]</w:t>
        </w:r>
      </w:hyperlink>
    </w:p>
    <w:p>
      <w:pPr>
        <w:pStyle w:val="Heading1"/>
        <w:pageBreakBefore/>
      </w:pPr>
      <w:r>
        <w:t>08B  计算与设计公司地图</w:t>
      </w:r>
    </w:p>
    <w:p>
      <w:pPr>
        <w:pStyle w:val="Heading2"/>
      </w:pPr>
      <w:r>
        <w:t>参会企业的架构路线</w:t>
      </w:r>
    </w:p>
    <w:tbl>
      <w:tblPr>
        <w:tblW w:type="auto" w:w="0"/>
        <w:jc w:val="center"/>
        <w:tblLayout w:type="fixed"/>
        <w:tblLook w:firstColumn="1" w:firstRow="1" w:lastColumn="0" w:lastRow="0" w:noHBand="0" w:noVBand="1" w:val="04A0"/>
      </w:tblPr>
      <w:tblGrid>
        <w:gridCol w:w="1746"/>
        <w:gridCol w:w="4074"/>
        <w:gridCol w:w="4074"/>
      </w:tblGrid>
      <w:tr>
        <w:trPr>
          <w:tblHeader/>
        </w:trPr>
        <w:tc>
          <w:tcPr>
            <w:tcW w:type="dxa" w:w="1746"/>
            <w:vAlign w:val="top"/>
            <w:shd w:fill="E0E7FF"/>
          </w:tcPr>
          <w:p>
            <w:pPr>
              <w:spacing w:after="80" w:before="60" w:line="276" w:lineRule="auto"/>
            </w:pPr>
            <w:r>
              <w:rPr>
                <w:b/>
                <w:sz w:val="18"/>
              </w:rPr>
              <w:t>公司</w:t>
            </w:r>
          </w:p>
        </w:tc>
        <w:tc>
          <w:tcPr>
            <w:tcW w:type="dxa" w:w="4074"/>
            <w:vAlign w:val="top"/>
            <w:shd w:fill="E0E7FF"/>
          </w:tcPr>
          <w:p>
            <w:pPr>
              <w:spacing w:after="80" w:before="60" w:line="276" w:lineRule="auto"/>
            </w:pPr>
            <w:r>
              <w:rPr>
                <w:b/>
                <w:sz w:val="18"/>
              </w:rPr>
              <w:t>能力与当前公开状态</w:t>
            </w:r>
          </w:p>
        </w:tc>
        <w:tc>
          <w:tcPr>
            <w:tcW w:type="dxa" w:w="4074"/>
            <w:vAlign w:val="top"/>
            <w:shd w:fill="E0E7FF"/>
          </w:tcPr>
          <w:p>
            <w:pPr>
              <w:spacing w:after="80" w:before="60" w:line="276" w:lineRule="auto"/>
            </w:pPr>
            <w:r>
              <w:rPr>
                <w:b/>
                <w:sz w:val="18"/>
              </w:rPr>
              <w:t>关键验证问题</w:t>
            </w:r>
          </w:p>
        </w:tc>
      </w:tr>
      <w:tr>
        <w:trPr>
          <w:cantSplit/>
        </w:trPr>
        <w:tc>
          <w:tcPr>
            <w:tcW w:type="dxa" w:w="1746"/>
            <w:vAlign w:val="top"/>
          </w:tcPr>
          <w:p>
            <w:pPr>
              <w:spacing w:after="80" w:before="60" w:line="276" w:lineRule="auto"/>
            </w:pPr>
            <w:r>
              <w:rPr>
                <w:sz w:val="18"/>
              </w:rPr>
              <w:t>Cerebras 美国</w:t>
            </w:r>
          </w:p>
        </w:tc>
        <w:tc>
          <w:tcPr>
            <w:tcW w:type="dxa" w:w="4074"/>
            <w:vAlign w:val="top"/>
          </w:tcPr>
          <w:p>
            <w:pPr>
              <w:spacing w:after="80" w:before="60" w:line="276" w:lineRule="auto"/>
            </w:pPr>
            <w:r>
              <w:rPr>
                <w:sz w:val="18"/>
              </w:rPr>
              <w:t>晶圆级计算；WSE-3 把大量计算与 SRAM 放在单一晶圆级芯片中。</w:t>
            </w:r>
            <w:hyperlink r:id="rId288">
              <w:r>
                <w:rPr>
                  <w:color w:val="4338CA"/>
                </w:rPr>
                <w:t>[R007]</w:t>
              </w:r>
            </w:hyperlink>
          </w:p>
        </w:tc>
        <w:tc>
          <w:tcPr>
            <w:tcW w:type="dxa" w:w="4074"/>
            <w:vAlign w:val="top"/>
          </w:tcPr>
          <w:p>
            <w:pPr>
              <w:spacing w:after="80" w:before="60" w:line="276" w:lineRule="auto"/>
            </w:pPr>
            <w:r>
              <w:rPr>
                <w:sz w:val="18"/>
              </w:rPr>
              <w:t>真实模型的端到端延迟、并发与外部数据搬运；故障绕行和集群可用性如何</w:t>
            </w:r>
          </w:p>
        </w:tc>
      </w:tr>
      <w:tr>
        <w:trPr>
          <w:cantSplit/>
        </w:trPr>
        <w:tc>
          <w:tcPr>
            <w:tcW w:type="dxa" w:w="1746"/>
            <w:vAlign w:val="top"/>
          </w:tcPr>
          <w:p>
            <w:pPr>
              <w:spacing w:after="80" w:before="60" w:line="276" w:lineRule="auto"/>
            </w:pPr>
            <w:r>
              <w:rPr>
                <w:sz w:val="18"/>
              </w:rPr>
              <w:t>SambaNova 美国</w:t>
            </w:r>
          </w:p>
        </w:tc>
        <w:tc>
          <w:tcPr>
            <w:tcW w:type="dxa" w:w="4074"/>
            <w:vAlign w:val="top"/>
          </w:tcPr>
          <w:p>
            <w:pPr>
              <w:spacing w:after="80" w:before="60" w:line="276" w:lineRule="auto"/>
            </w:pPr>
            <w:r>
              <w:rPr>
                <w:sz w:val="18"/>
              </w:rPr>
              <w:t>RDU 以可重构 dataflow 配合 SRAM/HBM/DDR 层级；论文解释 SN40L 的内存与执行方式。</w:t>
            </w:r>
            <w:hyperlink r:id="rId292">
              <w:r>
                <w:rPr>
                  <w:color w:val="4338CA"/>
                </w:rPr>
                <w:t>[R008]</w:t>
              </w:r>
            </w:hyperlink>
          </w:p>
        </w:tc>
        <w:tc>
          <w:tcPr>
            <w:tcW w:type="dxa" w:w="4074"/>
            <w:vAlign w:val="top"/>
          </w:tcPr>
          <w:p>
            <w:pPr>
              <w:spacing w:after="80" w:before="60" w:line="276" w:lineRule="auto"/>
            </w:pPr>
            <w:r>
              <w:rPr>
                <w:sz w:val="18"/>
              </w:rPr>
              <w:t>编译覆盖、动态模型支持、模型切换和实测功耗；不用旧型号推定最新产品</w:t>
            </w:r>
          </w:p>
        </w:tc>
      </w:tr>
      <w:tr>
        <w:trPr>
          <w:cantSplit/>
        </w:trPr>
        <w:tc>
          <w:tcPr>
            <w:tcW w:type="dxa" w:w="1746"/>
            <w:vAlign w:val="top"/>
          </w:tcPr>
          <w:p>
            <w:pPr>
              <w:spacing w:after="80" w:before="60" w:line="276" w:lineRule="auto"/>
            </w:pPr>
            <w:r>
              <w:rPr>
                <w:sz w:val="18"/>
              </w:rPr>
              <w:t>d-Matrix 美国</w:t>
            </w:r>
          </w:p>
        </w:tc>
        <w:tc>
          <w:tcPr>
            <w:tcW w:type="dxa" w:w="4074"/>
            <w:vAlign w:val="top"/>
          </w:tcPr>
          <w:p>
            <w:pPr>
              <w:spacing w:after="80" w:before="60" w:line="276" w:lineRule="auto"/>
            </w:pPr>
            <w:r>
              <w:rPr>
                <w:sz w:val="18"/>
              </w:rPr>
              <w:t>2026-06-09 宣称 Corsair full production；资料列 TSMC N6、Alchip、SRAM DIMC、有机基板和 LPDDR5。</w:t>
            </w:r>
            <w:hyperlink r:id="rId293">
              <w:r>
                <w:rPr>
                  <w:color w:val="4338CA"/>
                </w:rPr>
                <w:t>[R009]</w:t>
              </w:r>
            </w:hyperlink>
          </w:p>
        </w:tc>
        <w:tc>
          <w:tcPr>
            <w:tcW w:type="dxa" w:w="4074"/>
            <w:vAlign w:val="top"/>
          </w:tcPr>
          <w:p>
            <w:pPr>
              <w:spacing w:after="80" w:before="60" w:line="276" w:lineRule="auto"/>
            </w:pPr>
            <w:r>
              <w:rPr>
                <w:sz w:val="18"/>
              </w:rPr>
              <w:t>特定模型下低延迟如何与吞吐、内存容量及 GPU 配对成本共同变化</w:t>
            </w:r>
          </w:p>
        </w:tc>
      </w:tr>
      <w:tr>
        <w:trPr>
          <w:cantSplit/>
        </w:trPr>
        <w:tc>
          <w:tcPr>
            <w:tcW w:type="dxa" w:w="1746"/>
            <w:vAlign w:val="top"/>
          </w:tcPr>
          <w:p>
            <w:pPr>
              <w:spacing w:after="80" w:before="60" w:line="276" w:lineRule="auto"/>
            </w:pPr>
            <w:r>
              <w:rPr>
                <w:sz w:val="18"/>
              </w:rPr>
              <w:t>Etched 美国</w:t>
            </w:r>
          </w:p>
        </w:tc>
        <w:tc>
          <w:tcPr>
            <w:tcW w:type="dxa" w:w="4074"/>
            <w:vAlign w:val="top"/>
          </w:tcPr>
          <w:p>
            <w:pPr>
              <w:spacing w:after="80" w:before="60" w:line="276" w:lineRule="auto"/>
            </w:pPr>
            <w:r>
              <w:rPr>
                <w:sz w:val="18"/>
              </w:rPr>
              <w:t>当前官网描述 HBM/SRAM hybrid、LVI 与 CSM，称 A0 已回片并在验证首个机架产品。</w:t>
            </w:r>
            <w:hyperlink r:id="rId294">
              <w:r>
                <w:rPr>
                  <w:color w:val="4338CA"/>
                </w:rPr>
                <w:t>[R010]</w:t>
              </w:r>
            </w:hyperlink>
          </w:p>
        </w:tc>
        <w:tc>
          <w:tcPr>
            <w:tcW w:type="dxa" w:w="4074"/>
            <w:vAlign w:val="top"/>
          </w:tcPr>
          <w:p>
            <w:pPr>
              <w:spacing w:after="80" w:before="60" w:line="276" w:lineRule="auto"/>
            </w:pPr>
            <w:r>
              <w:rPr>
                <w:sz w:val="18"/>
              </w:rPr>
              <w:t>索取截止日可用硬件、模型名单、独立测试和实际客户验收；不沿用 2024 Sohu 宣传数字</w:t>
            </w:r>
          </w:p>
        </w:tc>
      </w:tr>
      <w:tr>
        <w:trPr>
          <w:cantSplit/>
        </w:trPr>
        <w:tc>
          <w:tcPr>
            <w:tcW w:type="dxa" w:w="1746"/>
            <w:vAlign w:val="top"/>
          </w:tcPr>
          <w:p>
            <w:pPr>
              <w:spacing w:after="80" w:before="60" w:line="276" w:lineRule="auto"/>
            </w:pPr>
            <w:r>
              <w:rPr>
                <w:sz w:val="18"/>
              </w:rPr>
              <w:t>Rebellions 韩国</w:t>
            </w:r>
          </w:p>
        </w:tc>
        <w:tc>
          <w:tcPr>
            <w:tcW w:type="dxa" w:w="4074"/>
            <w:vAlign w:val="top"/>
          </w:tcPr>
          <w:p>
            <w:pPr>
              <w:spacing w:after="80" w:before="60" w:line="276" w:lineRule="auto"/>
            </w:pPr>
            <w:r>
              <w:rPr>
                <w:sz w:val="18"/>
              </w:rPr>
              <w:t>当前官网列 Rebel100、RebelServer、RebelRack、RebelPOD 与 SDK 入口，并宣称生产部署。</w:t>
            </w:r>
            <w:hyperlink r:id="rId295">
              <w:r>
                <w:rPr>
                  <w:color w:val="4338CA"/>
                </w:rPr>
                <w:t>[R022]</w:t>
              </w:r>
            </w:hyperlink>
          </w:p>
        </w:tc>
        <w:tc>
          <w:tcPr>
            <w:tcW w:type="dxa" w:w="4074"/>
            <w:vAlign w:val="top"/>
          </w:tcPr>
          <w:p>
            <w:pPr>
              <w:spacing w:after="80" w:before="60" w:line="276" w:lineRule="auto"/>
            </w:pPr>
            <w:r>
              <w:rPr>
                <w:sz w:val="18"/>
              </w:rPr>
              <w:t>模型/算子覆盖与客户持续运行证据；“最盈利推理”应拆为具体成本口径</w:t>
            </w:r>
          </w:p>
        </w:tc>
      </w:tr>
      <w:tr>
        <w:trPr>
          <w:cantSplit/>
        </w:trPr>
        <w:tc>
          <w:tcPr>
            <w:tcW w:type="dxa" w:w="1746"/>
            <w:vAlign w:val="top"/>
          </w:tcPr>
          <w:p>
            <w:pPr>
              <w:spacing w:after="80" w:before="60" w:line="276" w:lineRule="auto"/>
            </w:pPr>
            <w:r>
              <w:rPr>
                <w:sz w:val="18"/>
              </w:rPr>
              <w:t>SiMa.ai 美国</w:t>
            </w:r>
          </w:p>
        </w:tc>
        <w:tc>
          <w:tcPr>
            <w:tcW w:type="dxa" w:w="4074"/>
            <w:vAlign w:val="top"/>
          </w:tcPr>
          <w:p>
            <w:pPr>
              <w:spacing w:after="80" w:before="60" w:line="276" w:lineRule="auto"/>
            </w:pPr>
            <w:r>
              <w:rPr>
                <w:sz w:val="18"/>
              </w:rPr>
              <w:t>Modalix 面向 edge/physical AI；产品页有芯片、SoM、PCIe 卡与开发套件。</w:t>
            </w:r>
            <w:hyperlink r:id="rId296">
              <w:r>
                <w:rPr>
                  <w:color w:val="4338CA"/>
                </w:rPr>
                <w:t>[R023]</w:t>
              </w:r>
            </w:hyperlink>
          </w:p>
        </w:tc>
        <w:tc>
          <w:tcPr>
            <w:tcW w:type="dxa" w:w="4074"/>
            <w:vAlign w:val="top"/>
          </w:tcPr>
          <w:p>
            <w:pPr>
              <w:spacing w:after="80" w:before="60" w:line="276" w:lineRule="auto"/>
            </w:pPr>
            <w:r>
              <w:rPr>
                <w:sz w:val="18"/>
              </w:rPr>
              <w:t>整个感知到动作应用的功耗和延迟；开发板、设计导入与量产收入分别验证</w:t>
            </w:r>
          </w:p>
        </w:tc>
      </w:tr>
      <w:tr>
        <w:trPr>
          <w:cantSplit/>
        </w:trPr>
        <w:tc>
          <w:tcPr>
            <w:tcW w:type="dxa" w:w="1746"/>
            <w:vAlign w:val="top"/>
          </w:tcPr>
          <w:p>
            <w:pPr>
              <w:spacing w:after="80" w:before="60" w:line="276" w:lineRule="auto"/>
            </w:pPr>
            <w:r>
              <w:rPr>
                <w:sz w:val="18"/>
              </w:rPr>
              <w:t>Normal Computing 美国</w:t>
            </w:r>
          </w:p>
        </w:tc>
        <w:tc>
          <w:tcPr>
            <w:tcW w:type="dxa" w:w="4074"/>
            <w:vAlign w:val="top"/>
          </w:tcPr>
          <w:p>
            <w:pPr>
              <w:spacing w:after="80" w:before="60" w:line="276" w:lineRule="auto"/>
            </w:pPr>
            <w:r>
              <w:rPr>
                <w:sz w:val="18"/>
              </w:rPr>
              <w:t>官方 ASIC 页面仍以 CN101 及 CN201/CN301 路线说明物理随机/热力学计算。</w:t>
            </w:r>
            <w:hyperlink r:id="rId297">
              <w:r>
                <w:rPr>
                  <w:color w:val="4338CA"/>
                </w:rPr>
                <w:t>[R024]</w:t>
              </w:r>
            </w:hyperlink>
          </w:p>
        </w:tc>
        <w:tc>
          <w:tcPr>
            <w:tcW w:type="dxa" w:w="4074"/>
            <w:vAlign w:val="top"/>
          </w:tcPr>
          <w:p>
            <w:pPr>
              <w:spacing w:after="80" w:before="60" w:line="276" w:lineRule="auto"/>
            </w:pPr>
            <w:r>
              <w:rPr>
                <w:sz w:val="18"/>
              </w:rPr>
              <w:t>采样问题的精度与功耗是否包含控制、读出和主机；路线图不是通用 GPU 替代证明</w:t>
            </w:r>
          </w:p>
        </w:tc>
      </w:tr>
      <w:tr>
        <w:trPr>
          <w:cantSplit/>
        </w:trPr>
        <w:tc>
          <w:tcPr>
            <w:tcW w:type="dxa" w:w="1746"/>
            <w:vAlign w:val="top"/>
          </w:tcPr>
          <w:p>
            <w:pPr>
              <w:spacing w:after="80" w:before="60" w:line="276" w:lineRule="auto"/>
            </w:pPr>
            <w:r>
              <w:rPr>
                <w:sz w:val="18"/>
              </w:rPr>
              <w:t>Unconventional AI 美国</w:t>
            </w:r>
          </w:p>
        </w:tc>
        <w:tc>
          <w:tcPr>
            <w:tcW w:type="dxa" w:w="4074"/>
            <w:vAlign w:val="top"/>
          </w:tcPr>
          <w:p>
            <w:pPr>
              <w:spacing w:after="80" w:before="60" w:line="276" w:lineRule="auto"/>
            </w:pPr>
            <w:r>
              <w:rPr>
                <w:sz w:val="18"/>
              </w:rPr>
              <w:t>官方定位强调硬件与算法共同演化，公开首页尚不足以形成可比较的量产规格。</w:t>
            </w:r>
            <w:hyperlink r:id="rId298">
              <w:r>
                <w:rPr>
                  <w:color w:val="4338CA"/>
                </w:rPr>
                <w:t>[R025]</w:t>
              </w:r>
            </w:hyperlink>
          </w:p>
        </w:tc>
        <w:tc>
          <w:tcPr>
            <w:tcW w:type="dxa" w:w="4074"/>
            <w:vAlign w:val="top"/>
          </w:tcPr>
          <w:p>
            <w:pPr>
              <w:spacing w:after="80" w:before="60" w:line="276" w:lineRule="auto"/>
            </w:pPr>
            <w:r>
              <w:rPr>
                <w:sz w:val="18"/>
              </w:rPr>
              <w:t>用何种物理原语处理何类运算，校准、精度、接口与软件如何实现</w:t>
            </w:r>
          </w:p>
        </w:tc>
      </w:tr>
      <w:tr>
        <w:trPr>
          <w:cantSplit/>
        </w:trPr>
        <w:tc>
          <w:tcPr>
            <w:tcW w:type="dxa" w:w="1746"/>
            <w:vAlign w:val="top"/>
          </w:tcPr>
          <w:p>
            <w:pPr>
              <w:spacing w:after="80" w:before="60" w:line="276" w:lineRule="auto"/>
            </w:pPr>
            <w:r>
              <w:rPr>
                <w:sz w:val="18"/>
              </w:rPr>
              <w:t>Ricursive Intelligence 美国</w:t>
            </w:r>
          </w:p>
        </w:tc>
        <w:tc>
          <w:tcPr>
            <w:tcW w:type="dxa" w:w="4074"/>
            <w:vAlign w:val="top"/>
          </w:tcPr>
          <w:p>
            <w:pPr>
              <w:spacing w:after="80" w:before="60" w:line="276" w:lineRule="auto"/>
            </w:pPr>
            <w:r>
              <w:rPr>
                <w:sz w:val="18"/>
              </w:rPr>
              <w:t>官方定位是 AI for chip design 与 chip design for AI 的循环。</w:t>
            </w:r>
            <w:hyperlink r:id="rId299">
              <w:r>
                <w:rPr>
                  <w:color w:val="4338CA"/>
                </w:rPr>
                <w:t>[R026]</w:t>
              </w:r>
            </w:hyperlink>
          </w:p>
        </w:tc>
        <w:tc>
          <w:tcPr>
            <w:tcW w:type="dxa" w:w="4074"/>
            <w:vAlign w:val="top"/>
          </w:tcPr>
          <w:p>
            <w:pPr>
              <w:spacing w:after="80" w:before="60" w:line="276" w:lineRule="auto"/>
            </w:pPr>
            <w:r>
              <w:rPr>
                <w:sz w:val="18"/>
              </w:rPr>
              <w:t>现阶段交付模型、设计工具还是芯片；有无可复现 PPA 和 signoff 案例</w:t>
            </w:r>
          </w:p>
        </w:tc>
      </w:tr>
      <w:tr>
        <w:trPr>
          <w:cantSplit/>
        </w:trPr>
        <w:tc>
          <w:tcPr>
            <w:tcW w:type="dxa" w:w="1746"/>
            <w:vAlign w:val="top"/>
          </w:tcPr>
          <w:p>
            <w:pPr>
              <w:spacing w:after="80" w:before="60" w:line="276" w:lineRule="auto"/>
            </w:pPr>
            <w:r>
              <w:rPr>
                <w:sz w:val="18"/>
              </w:rPr>
              <w:t>Cognichip 美国</w:t>
            </w:r>
          </w:p>
        </w:tc>
        <w:tc>
          <w:tcPr>
            <w:tcW w:type="dxa" w:w="4074"/>
            <w:vAlign w:val="top"/>
          </w:tcPr>
          <w:p>
            <w:pPr>
              <w:spacing w:after="80" w:before="60" w:line="276" w:lineRule="auto"/>
            </w:pPr>
            <w:r>
              <w:rPr>
                <w:sz w:val="18"/>
              </w:rPr>
              <w:t>官方 ACI 定位为 physics-informed foundation model 支持芯片设计。</w:t>
            </w:r>
            <w:hyperlink r:id="rId300">
              <w:r>
                <w:rPr>
                  <w:color w:val="4338CA"/>
                </w:rPr>
                <w:t>[R027]</w:t>
              </w:r>
            </w:hyperlink>
          </w:p>
        </w:tc>
        <w:tc>
          <w:tcPr>
            <w:tcW w:type="dxa" w:w="4074"/>
            <w:vAlign w:val="top"/>
          </w:tcPr>
          <w:p>
            <w:pPr>
              <w:spacing w:after="80" w:before="60" w:line="276" w:lineRule="auto"/>
            </w:pPr>
            <w:r>
              <w:rPr>
                <w:sz w:val="18"/>
              </w:rPr>
              <w:t>训练数据授权、验证闭环、工艺迁移和客户 IP 隔离；营销承诺不能当硅成功率</w:t>
            </w:r>
          </w:p>
        </w:tc>
      </w:tr>
      <w:tr>
        <w:trPr>
          <w:cantSplit/>
        </w:trPr>
        <w:tc>
          <w:tcPr>
            <w:tcW w:type="dxa" w:w="1746"/>
            <w:vAlign w:val="top"/>
          </w:tcPr>
          <w:p>
            <w:pPr>
              <w:spacing w:after="80" w:before="60" w:line="276" w:lineRule="auto"/>
            </w:pPr>
            <w:r>
              <w:rPr>
                <w:sz w:val="18"/>
              </w:rPr>
              <w:t>Altera 美国</w:t>
            </w:r>
          </w:p>
        </w:tc>
        <w:tc>
          <w:tcPr>
            <w:tcW w:type="dxa" w:w="4074"/>
            <w:vAlign w:val="top"/>
          </w:tcPr>
          <w:p>
            <w:pPr>
              <w:spacing w:after="80" w:before="60" w:line="276" w:lineRule="auto"/>
            </w:pPr>
            <w:r>
              <w:rPr>
                <w:sz w:val="18"/>
              </w:rPr>
              <w:t>FPGA 以可重配逻辑、片上存储和高速接口服务不同系统需求。</w:t>
            </w:r>
            <w:hyperlink r:id="rId286">
              <w:r>
                <w:rPr>
                  <w:color w:val="4338CA"/>
                </w:rPr>
                <w:t>[R016]</w:t>
              </w:r>
            </w:hyperlink>
          </w:p>
        </w:tc>
        <w:tc>
          <w:tcPr>
            <w:tcW w:type="dxa" w:w="4074"/>
            <w:vAlign w:val="top"/>
          </w:tcPr>
          <w:p>
            <w:pPr>
              <w:spacing w:after="80" w:before="60" w:line="276" w:lineRule="auto"/>
            </w:pPr>
            <w:r>
              <w:rPr>
                <w:sz w:val="18"/>
              </w:rPr>
              <w:t>工具成熟度、时序收敛、长期供货、设计导入后的实际出货</w:t>
            </w:r>
          </w:p>
        </w:tc>
      </w:tr>
    </w:tbl>
    <w:p>
      <w:pPr>
        <w:spacing w:after="0"/>
      </w:pPr>
    </w:p>
    <w:p>
      <w:pPr/>
      <w:r>
        <w:t>这些路线的共同问题是数据移动与可编程性的取舍。SRAM 的访问方式、dataflow、专用 ASIC 或物理采样可以改善特定任务，但“低能耗原语”到“完整服务更便宜”之间仍有精度、软件、外部内存、网络和利用率约束。这是基于上表的研究推论，不是各公司的统一量产结论。</w:t>
      </w:r>
    </w:p>
    <w:p>
      <w:pPr>
        <w:pStyle w:val="Heading2"/>
      </w:pPr>
      <w:r>
        <w:t>全球代表性计算供给</w:t>
      </w:r>
    </w:p>
    <w:tbl>
      <w:tblPr>
        <w:tblW w:type="auto" w:w="0"/>
        <w:jc w:val="center"/>
        <w:tblLayout w:type="fixed"/>
        <w:tblLook w:firstColumn="1" w:firstRow="1" w:lastColumn="0" w:lastRow="0" w:noHBand="0" w:noVBand="1" w:val="04A0"/>
      </w:tblPr>
      <w:tblGrid>
        <w:gridCol w:w="781"/>
        <w:gridCol w:w="3037"/>
        <w:gridCol w:w="3037"/>
        <w:gridCol w:w="3037"/>
      </w:tblGrid>
      <w:tr>
        <w:trPr>
          <w:tblHeader/>
        </w:trPr>
        <w:tc>
          <w:tcPr>
            <w:tcW w:type="dxa" w:w="781"/>
            <w:vAlign w:val="top"/>
            <w:shd w:fill="E0E7FF"/>
          </w:tcPr>
          <w:p>
            <w:pPr>
              <w:spacing w:after="80" w:before="60" w:line="276" w:lineRule="auto"/>
            </w:pPr>
            <w:r>
              <w:rPr>
                <w:b/>
                <w:sz w:val="18"/>
              </w:rPr>
              <w:t>产业位置</w:t>
            </w:r>
          </w:p>
        </w:tc>
        <w:tc>
          <w:tcPr>
            <w:tcW w:type="dxa" w:w="3037"/>
            <w:vAlign w:val="top"/>
            <w:shd w:fill="E0E7FF"/>
          </w:tcPr>
          <w:p>
            <w:pPr>
              <w:spacing w:after="80" w:before="60" w:line="276" w:lineRule="auto"/>
            </w:pPr>
            <w:r>
              <w:rPr>
                <w:b/>
                <w:sz w:val="18"/>
              </w:rPr>
              <w:t>美国</w:t>
            </w:r>
          </w:p>
        </w:tc>
        <w:tc>
          <w:tcPr>
            <w:tcW w:type="dxa" w:w="3037"/>
            <w:vAlign w:val="top"/>
            <w:shd w:fill="E0E7FF"/>
          </w:tcPr>
          <w:p>
            <w:pPr>
              <w:spacing w:after="80" w:before="60" w:line="276" w:lineRule="auto"/>
            </w:pPr>
            <w:r>
              <w:rPr>
                <w:b/>
                <w:sz w:val="18"/>
              </w:rPr>
              <w:t>中国大陆</w:t>
            </w:r>
          </w:p>
        </w:tc>
        <w:tc>
          <w:tcPr>
            <w:tcW w:type="dxa" w:w="3037"/>
            <w:vAlign w:val="top"/>
            <w:shd w:fill="E0E7FF"/>
          </w:tcPr>
          <w:p>
            <w:pPr>
              <w:spacing w:after="80" w:before="60" w:line="276" w:lineRule="auto"/>
            </w:pPr>
            <w:r>
              <w:rPr>
                <w:b/>
                <w:sz w:val="18"/>
              </w:rPr>
              <w:t>其他地区与边界</w:t>
            </w:r>
          </w:p>
        </w:tc>
      </w:tr>
      <w:tr>
        <w:trPr>
          <w:cantSplit/>
        </w:trPr>
        <w:tc>
          <w:tcPr>
            <w:tcW w:type="dxa" w:w="781"/>
            <w:vAlign w:val="top"/>
          </w:tcPr>
          <w:p>
            <w:pPr>
              <w:spacing w:after="80" w:before="60" w:line="276" w:lineRule="auto"/>
            </w:pPr>
            <w:r>
              <w:rPr>
                <w:sz w:val="18"/>
              </w:rPr>
              <w:t>通用与加速计算平台</w:t>
            </w:r>
          </w:p>
        </w:tc>
        <w:tc>
          <w:tcPr>
            <w:tcW w:type="dxa" w:w="3037"/>
            <w:vAlign w:val="top"/>
          </w:tcPr>
          <w:p>
            <w:pPr>
              <w:spacing w:after="80" w:before="60" w:line="276" w:lineRule="auto"/>
            </w:pPr>
            <w:r>
              <w:rPr>
                <w:sz w:val="18"/>
              </w:rPr>
              <w:t>NVIDIA、AMD、Intel；资料分别覆盖 GPU/rack、Instinct、Xeon。</w:t>
            </w:r>
            <w:hyperlink r:id="rId11">
              <w:r>
                <w:rPr>
                  <w:color w:val="4338CA"/>
                </w:rPr>
                <w:t>[R004]</w:t>
              </w:r>
            </w:hyperlink>
            <w:hyperlink r:id="rId12">
              <w:r>
                <w:rPr>
                  <w:color w:val="4338CA"/>
                </w:rPr>
                <w:t>[R005]</w:t>
              </w:r>
            </w:hyperlink>
            <w:hyperlink r:id="rId301">
              <w:r>
                <w:rPr>
                  <w:color w:val="4338CA"/>
                </w:rPr>
                <w:t>[R033]</w:t>
              </w:r>
            </w:hyperlink>
          </w:p>
        </w:tc>
        <w:tc>
          <w:tcPr>
            <w:tcW w:type="dxa" w:w="3037"/>
            <w:vAlign w:val="top"/>
          </w:tcPr>
          <w:p>
            <w:pPr>
              <w:spacing w:after="80" w:before="60" w:line="276" w:lineRule="auto"/>
            </w:pPr>
            <w:r>
              <w:rPr>
                <w:sz w:val="18"/>
              </w:rPr>
              <w:t>服务器CPU有海光、鲲鹏；加速器有华为昇腾、寒武纪、摩尔线程、昆仑芯、壁仞。产品类别不证明节点、产量或客户份额。</w:t>
            </w:r>
            <w:hyperlink r:id="rId302">
              <w:r>
                <w:rPr>
                  <w:color w:val="4338CA"/>
                </w:rPr>
                <w:t>[R058]</w:t>
              </w:r>
            </w:hyperlink>
            <w:hyperlink r:id="rId303">
              <w:r>
                <w:rPr>
                  <w:color w:val="4338CA"/>
                </w:rPr>
                <w:t>[R059]</w:t>
              </w:r>
            </w:hyperlink>
            <w:hyperlink r:id="rId304">
              <w:r>
                <w:rPr>
                  <w:color w:val="4338CA"/>
                </w:rPr>
                <w:t>[R034]</w:t>
              </w:r>
            </w:hyperlink>
            <w:hyperlink r:id="rId305">
              <w:r>
                <w:rPr>
                  <w:color w:val="4338CA"/>
                </w:rPr>
                <w:t>[R035]</w:t>
              </w:r>
            </w:hyperlink>
            <w:hyperlink r:id="rId306">
              <w:r>
                <w:rPr>
                  <w:color w:val="4338CA"/>
                </w:rPr>
                <w:t>[R036]</w:t>
              </w:r>
            </w:hyperlink>
            <w:hyperlink r:id="rId307">
              <w:r>
                <w:rPr>
                  <w:color w:val="4338CA"/>
                </w:rPr>
                <w:t>[R037]</w:t>
              </w:r>
            </w:hyperlink>
            <w:hyperlink r:id="rId308">
              <w:r>
                <w:rPr>
                  <w:color w:val="4338CA"/>
                </w:rPr>
                <w:t>[R038]</w:t>
              </w:r>
            </w:hyperlink>
          </w:p>
        </w:tc>
        <w:tc>
          <w:tcPr>
            <w:tcW w:type="dxa" w:w="3037"/>
            <w:vAlign w:val="top"/>
          </w:tcPr>
          <w:p>
            <w:pPr>
              <w:spacing w:after="80" w:before="60" w:line="276" w:lineRule="auto"/>
            </w:pPr>
            <w:r>
              <w:rPr>
                <w:sz w:val="18"/>
              </w:rPr>
              <w:t>Arm 英国提供 Neoverse/CSS，并已扩展至自有 CPU 产品；不能再简单写成只卖 IP。</w:t>
            </w:r>
            <w:hyperlink r:id="rId309">
              <w:r>
                <w:rPr>
                  <w:color w:val="4338CA"/>
                </w:rPr>
                <w:t>[R028]</w:t>
              </w:r>
            </w:hyperlink>
          </w:p>
        </w:tc>
      </w:tr>
      <w:tr>
        <w:trPr>
          <w:cantSplit/>
        </w:trPr>
        <w:tc>
          <w:tcPr>
            <w:tcW w:type="dxa" w:w="781"/>
            <w:vAlign w:val="top"/>
          </w:tcPr>
          <w:p>
            <w:pPr>
              <w:spacing w:after="80" w:before="60" w:line="276" w:lineRule="auto"/>
            </w:pPr>
            <w:r>
              <w:rPr>
                <w:sz w:val="18"/>
              </w:rPr>
              <w:t>云自研加速器</w:t>
            </w:r>
          </w:p>
        </w:tc>
        <w:tc>
          <w:tcPr>
            <w:tcW w:type="dxa" w:w="3037"/>
            <w:vAlign w:val="top"/>
          </w:tcPr>
          <w:p>
            <w:pPr>
              <w:spacing w:after="80" w:before="60" w:line="276" w:lineRule="auto"/>
            </w:pPr>
            <w:r>
              <w:rPr>
                <w:sz w:val="18"/>
              </w:rPr>
              <w:t>Google TPU、AWS Trainium；入口分别为云平台服务。</w:t>
            </w:r>
            <w:hyperlink r:id="rId43">
              <w:r>
                <w:rPr>
                  <w:color w:val="4338CA"/>
                </w:rPr>
                <w:t>[R006]</w:t>
              </w:r>
            </w:hyperlink>
            <w:hyperlink r:id="rId285">
              <w:r>
                <w:rPr>
                  <w:color w:val="4338CA"/>
                </w:rPr>
                <w:t>[R015]</w:t>
              </w:r>
            </w:hyperlink>
          </w:p>
        </w:tc>
        <w:tc>
          <w:tcPr>
            <w:tcW w:type="dxa" w:w="3037"/>
            <w:vAlign w:val="top"/>
          </w:tcPr>
          <w:p>
            <w:pPr>
              <w:spacing w:after="80" w:before="60" w:line="276" w:lineRule="auto"/>
            </w:pPr>
            <w:r>
              <w:rPr>
                <w:sz w:val="18"/>
              </w:rPr>
              <w:t>华为等整栈能力见官方资料；其他云的未披露设计不填补客户关系。</w:t>
            </w:r>
            <w:hyperlink r:id="rId304">
              <w:r>
                <w:rPr>
                  <w:color w:val="4338CA"/>
                </w:rPr>
                <w:t>[R034]</w:t>
              </w:r>
            </w:hyperlink>
          </w:p>
        </w:tc>
        <w:tc>
          <w:tcPr>
            <w:tcW w:type="dxa" w:w="3037"/>
            <w:vAlign w:val="top"/>
          </w:tcPr>
          <w:p>
            <w:pPr>
              <w:spacing w:after="80" w:before="60" w:line="276" w:lineRule="auto"/>
            </w:pPr>
            <w:r>
              <w:rPr>
                <w:sz w:val="18"/>
              </w:rPr>
              <w:t>Rebellions 韩国是另一路推理芯片/系统供给；不能视作同类云实例。</w:t>
            </w:r>
            <w:hyperlink r:id="rId295">
              <w:r>
                <w:rPr>
                  <w:color w:val="4338CA"/>
                </w:rPr>
                <w:t>[R022]</w:t>
              </w:r>
            </w:hyperlink>
          </w:p>
        </w:tc>
      </w:tr>
      <w:tr>
        <w:trPr>
          <w:cantSplit/>
        </w:trPr>
        <w:tc>
          <w:tcPr>
            <w:tcW w:type="dxa" w:w="781"/>
            <w:vAlign w:val="top"/>
          </w:tcPr>
          <w:p>
            <w:pPr>
              <w:spacing w:after="80" w:before="60" w:line="276" w:lineRule="auto"/>
            </w:pPr>
            <w:r>
              <w:rPr>
                <w:sz w:val="18"/>
              </w:rPr>
              <w:t>CPU 与接口 IP</w:t>
            </w:r>
          </w:p>
        </w:tc>
        <w:tc>
          <w:tcPr>
            <w:tcW w:type="dxa" w:w="3037"/>
            <w:vAlign w:val="top"/>
          </w:tcPr>
          <w:p>
            <w:pPr>
              <w:spacing w:after="80" w:before="60" w:line="276" w:lineRule="auto"/>
            </w:pPr>
            <w:r>
              <w:rPr>
                <w:sz w:val="18"/>
              </w:rPr>
              <w:t>Synopsys 等提供接口/IP及设计工具。</w:t>
            </w:r>
            <w:hyperlink r:id="rId201">
              <w:r>
                <w:rPr>
                  <w:color w:val="4338CA"/>
                </w:rPr>
                <w:t>[F017]</w:t>
              </w:r>
            </w:hyperlink>
          </w:p>
        </w:tc>
        <w:tc>
          <w:tcPr>
            <w:tcW w:type="dxa" w:w="3037"/>
            <w:vAlign w:val="top"/>
          </w:tcPr>
          <w:p>
            <w:pPr>
              <w:spacing w:after="80" w:before="60" w:line="276" w:lineRule="auto"/>
            </w:pPr>
            <w:r>
              <w:rPr>
                <w:sz w:val="18"/>
              </w:rPr>
              <w:t>“自主”不等于全部 IP、工具、材料国产；实际边界按芯片与工具合同逐项核实</w:t>
            </w:r>
          </w:p>
        </w:tc>
        <w:tc>
          <w:tcPr>
            <w:tcW w:type="dxa" w:w="3037"/>
            <w:vAlign w:val="top"/>
          </w:tcPr>
          <w:p>
            <w:pPr>
              <w:spacing w:after="80" w:before="60" w:line="276" w:lineRule="auto"/>
            </w:pPr>
            <w:r>
              <w:rPr>
                <w:sz w:val="18"/>
              </w:rPr>
              <w:t>Arm/CSS 位于架构、CPU核心与预集成子系统层；实际芯片由不同设计与制造链实现。</w:t>
            </w:r>
            <w:hyperlink r:id="rId309">
              <w:r>
                <w:rPr>
                  <w:color w:val="4338CA"/>
                </w:rPr>
                <w:t>[R028]</w:t>
              </w:r>
            </w:hyperlink>
          </w:p>
        </w:tc>
      </w:tr>
      <w:tr>
        <w:trPr>
          <w:cantSplit/>
        </w:trPr>
        <w:tc>
          <w:tcPr>
            <w:tcW w:type="dxa" w:w="781"/>
            <w:vAlign w:val="top"/>
          </w:tcPr>
          <w:p>
            <w:pPr>
              <w:spacing w:after="80" w:before="60" w:line="276" w:lineRule="auto"/>
            </w:pPr>
            <w:r>
              <w:rPr>
                <w:sz w:val="18"/>
              </w:rPr>
              <w:t>EDA细分能力</w:t>
            </w:r>
          </w:p>
        </w:tc>
        <w:tc>
          <w:tcPr>
            <w:tcW w:type="dxa" w:w="3037"/>
            <w:vAlign w:val="top"/>
          </w:tcPr>
          <w:p>
            <w:pPr>
              <w:spacing w:after="80" w:before="60" w:line="276" w:lineRule="auto"/>
            </w:pPr>
            <w:r>
              <w:rPr>
                <w:sz w:val="18"/>
              </w:rPr>
              <w:t>Synopsys、Cadence的设计优化见上一模块；不同工具不能混用同一产效指标。</w:t>
            </w:r>
            <w:hyperlink r:id="rId290">
              <w:r>
                <w:rPr>
                  <w:color w:val="4338CA"/>
                </w:rPr>
                <w:t>[R017]</w:t>
              </w:r>
            </w:hyperlink>
            <w:hyperlink r:id="rId291">
              <w:r>
                <w:rPr>
                  <w:color w:val="4338CA"/>
                </w:rPr>
                <w:t>[R018]</w:t>
              </w:r>
            </w:hyperlink>
          </w:p>
        </w:tc>
        <w:tc>
          <w:tcPr>
            <w:tcW w:type="dxa" w:w="3037"/>
            <w:vAlign w:val="top"/>
          </w:tcPr>
          <w:p>
            <w:pPr>
              <w:spacing w:after="80" w:before="60" w:line="276" w:lineRule="auto"/>
            </w:pPr>
            <w:r>
              <w:rPr>
                <w:sz w:val="18"/>
              </w:rPr>
              <w:t>华大九天ALPS为SPICE仿真；概伦NanoSpice Pro为FastSPICE；广立微SmtCell为参数化测试结构版图，不能将单工具写成完整流程替代。</w:t>
            </w:r>
            <w:hyperlink r:id="rId310">
              <w:r>
                <w:rPr>
                  <w:color w:val="4338CA"/>
                </w:rPr>
                <w:t>[R061]</w:t>
              </w:r>
            </w:hyperlink>
            <w:hyperlink r:id="rId311">
              <w:r>
                <w:rPr>
                  <w:color w:val="4338CA"/>
                </w:rPr>
                <w:t>[R062]</w:t>
              </w:r>
            </w:hyperlink>
            <w:hyperlink r:id="rId312">
              <w:r>
                <w:rPr>
                  <w:color w:val="4338CA"/>
                </w:rPr>
                <w:t>[R063]</w:t>
              </w:r>
            </w:hyperlink>
          </w:p>
        </w:tc>
        <w:tc>
          <w:tcPr>
            <w:tcW w:type="dxa" w:w="3037"/>
            <w:vAlign w:val="top"/>
          </w:tcPr>
          <w:p>
            <w:pPr>
              <w:spacing w:after="80" w:before="60" w:line="276" w:lineRule="auto"/>
            </w:pPr>
            <w:r>
              <w:rPr>
                <w:sz w:val="18"/>
              </w:rPr>
              <w:t>Siemens Calibre等工具在物理/可靠性验证有不同角色；总部归属不代表工具只在单一地区研发。</w:t>
            </w:r>
            <w:hyperlink r:id="rId287">
              <w:r>
                <w:rPr>
                  <w:color w:val="4338CA"/>
                </w:rPr>
                <w:t>[R019]</w:t>
              </w:r>
            </w:hyperlink>
          </w:p>
        </w:tc>
      </w:tr>
    </w:tbl>
    <w:p>
      <w:pPr>
        <w:spacing w:after="0"/>
      </w:pPr>
    </w:p>
    <w:p>
      <w:pPr/>
      <w:r>
        <w:t>地区列表是研究入口，涵盖代表性公开产品，而非每一家都在同一代制程、同一软件成熟度或同一出口可用性下竞争。要判断替代能力，必须在同一模型、质量、SLA、软件与实际取得成本上做系统比较。</w:t>
      </w:r>
    </w:p>
    <w:p>
      <w:pPr>
        <w:pStyle w:val="Heading2"/>
      </w:pPr>
      <w:r>
        <w:t>基准结果审查卡</w:t>
      </w:r>
    </w:p>
    <w:p>
      <w:pPr/>
      <w:r>
        <w:t>每张性能图至少记录：型号和芯片数；模型版本与权重精度；输入/输出长度；batch与并发；TTFT、TPOT和 P99；吞吐是否受 SLA 约束；功率是否实测；软件/内核版本；是否包含主机、网络和存储。MLPerf 数据中心规则区分测试场景，也明确只有规定的功率测试才构成其验证功率，TDP 或电源额定值并不等同于实测能耗。</w:t>
      </w:r>
      <w:hyperlink r:id="rId46">
        <w:r>
          <w:rPr>
            <w:color w:val="4338CA"/>
          </w:rPr>
          <w:t>[R012]</w:t>
        </w:r>
      </w:hyperlink>
    </w:p>
    <w:p>
      <w:pPr/>
      <w:r>
        <w:t>若厂商只提供最高 tokens/s，现场可直接追问：“在我们约定的输入长度、输出长度和 P99 延迟上限下，整机墙插功率是多少；模型质量相同吗；运行多久；我们能复跑吗？”这比对照宣传倍数更能识别工程成熟度。</w:t>
      </w:r>
    </w:p>
    <w:p>
      <w:pPr>
        <w:pStyle w:val="Heading1"/>
        <w:pageBreakBefore/>
      </w:pPr>
      <w:r>
        <w:t>09  CASPA 会议与公司对应</w:t>
      </w:r>
    </w:p>
    <w:p>
      <w:pPr>
        <w:pStyle w:val="Heading2"/>
      </w:pPr>
      <w:r>
        <w:t>活动基线</w:t>
      </w:r>
    </w:p>
    <w:p>
      <w:pPr/>
      <w:r>
        <w:t>活动官网列日期为 2026 年 10 月 23–24 日，地点 Santa Clara Convention Center。以下为 10 月 15 日官网公布安排，属于预告；议程和出席者仍可能调整。本报告采用当前官网，不用较早社交宣传替代当前职务或上台名单。</w:t>
      </w:r>
      <w:hyperlink r:id="rId313">
        <w:r>
          <w:rPr>
            <w:color w:val="4338CA"/>
          </w:rPr>
          <w:t>[R001]</w:t>
        </w:r>
      </w:hyperlink>
      <w:hyperlink r:id="rId13">
        <w:r>
          <w:rPr>
            <w:color w:val="4338CA"/>
          </w:rPr>
          <w:t>[R002]</w:t>
        </w:r>
      </w:hyperlink>
    </w:p>
    <w:p>
      <w:pPr>
        <w:pStyle w:val="Heading2"/>
      </w:pPr>
      <w:r>
        <w:t>最值得带着问题听的场次</w:t>
      </w:r>
    </w:p>
    <w:tbl>
      <w:tblPr>
        <w:tblW w:type="auto" w:w="0"/>
        <w:jc w:val="center"/>
        <w:tblLayout w:type="fixed"/>
        <w:tblLook w:firstColumn="1" w:firstRow="1" w:lastColumn="0" w:lastRow="0" w:noHBand="0" w:noVBand="1" w:val="04A0"/>
      </w:tblPr>
      <w:tblGrid>
        <w:gridCol w:w="1835"/>
        <w:gridCol w:w="3957"/>
        <w:gridCol w:w="4101"/>
      </w:tblGrid>
      <w:tr>
        <w:trPr>
          <w:tblHeader/>
        </w:trPr>
        <w:tc>
          <w:tcPr>
            <w:tcW w:type="dxa" w:w="1835"/>
            <w:vAlign w:val="top"/>
            <w:shd w:fill="E0E7FF"/>
          </w:tcPr>
          <w:p>
            <w:pPr>
              <w:spacing w:after="80" w:before="60" w:line="276" w:lineRule="auto"/>
            </w:pPr>
            <w:r>
              <w:rPr>
                <w:b/>
                <w:sz w:val="18"/>
              </w:rPr>
              <w:t>当地时间</w:t>
            </w:r>
          </w:p>
        </w:tc>
        <w:tc>
          <w:tcPr>
            <w:tcW w:type="dxa" w:w="3957"/>
            <w:vAlign w:val="top"/>
            <w:shd w:fill="E0E7FF"/>
          </w:tcPr>
          <w:p>
            <w:pPr>
              <w:spacing w:after="80" w:before="60" w:line="276" w:lineRule="auto"/>
            </w:pPr>
            <w:r>
              <w:rPr>
                <w:b/>
                <w:sz w:val="18"/>
              </w:rPr>
              <w:t>场次与公司入口</w:t>
            </w:r>
          </w:p>
        </w:tc>
        <w:tc>
          <w:tcPr>
            <w:tcW w:type="dxa" w:w="4101"/>
            <w:vAlign w:val="top"/>
            <w:shd w:fill="E0E7FF"/>
          </w:tcPr>
          <w:p>
            <w:pPr>
              <w:spacing w:after="80" w:before="60" w:line="276" w:lineRule="auto"/>
            </w:pPr>
            <w:r>
              <w:rPr>
                <w:b/>
                <w:sz w:val="18"/>
              </w:rPr>
              <w:t>本报告建议追问</w:t>
            </w:r>
          </w:p>
        </w:tc>
      </w:tr>
      <w:tr>
        <w:trPr>
          <w:cantSplit/>
        </w:trPr>
        <w:tc>
          <w:tcPr>
            <w:tcW w:type="dxa" w:w="1835"/>
            <w:vAlign w:val="top"/>
          </w:tcPr>
          <w:p>
            <w:pPr>
              <w:spacing w:after="80" w:before="60" w:line="276" w:lineRule="auto"/>
            </w:pPr>
            <w:r>
              <w:rPr>
                <w:sz w:val="18"/>
              </w:rPr>
              <w:t>10/23 13:40–14:00</w:t>
            </w:r>
          </w:p>
        </w:tc>
        <w:tc>
          <w:tcPr>
            <w:tcW w:type="dxa" w:w="3957"/>
            <w:vAlign w:val="top"/>
          </w:tcPr>
          <w:p>
            <w:pPr>
              <w:spacing w:after="80" w:before="60" w:line="276" w:lineRule="auto"/>
            </w:pPr>
            <w:r>
              <w:rPr>
                <w:sz w:val="18"/>
              </w:rPr>
              <w:t>Credo 的 $100/Watt</w:t>
            </w:r>
          </w:p>
        </w:tc>
        <w:tc>
          <w:tcPr>
            <w:tcW w:type="dxa" w:w="4101"/>
            <w:vAlign w:val="top"/>
          </w:tcPr>
          <w:p>
            <w:pPr>
              <w:spacing w:after="80" w:before="60" w:line="276" w:lineRule="auto"/>
            </w:pPr>
            <w:r>
              <w:rPr>
                <w:sz w:val="18"/>
              </w:rPr>
              <w:t>每瓦的定义是 IT、网络还是设施输入；价格和持续服务价值如何区分</w:t>
            </w:r>
          </w:p>
        </w:tc>
      </w:tr>
      <w:tr>
        <w:trPr>
          <w:cantSplit/>
        </w:trPr>
        <w:tc>
          <w:tcPr>
            <w:tcW w:type="dxa" w:w="1835"/>
            <w:vAlign w:val="top"/>
          </w:tcPr>
          <w:p>
            <w:pPr>
              <w:spacing w:after="80" w:before="60" w:line="276" w:lineRule="auto"/>
            </w:pPr>
            <w:r>
              <w:rPr>
                <w:sz w:val="18"/>
              </w:rPr>
              <w:t>10/23 14:00–14:40</w:t>
            </w:r>
          </w:p>
        </w:tc>
        <w:tc>
          <w:tcPr>
            <w:tcW w:type="dxa" w:w="3957"/>
            <w:vAlign w:val="top"/>
          </w:tcPr>
          <w:p>
            <w:pPr>
              <w:spacing w:after="80" w:before="60" w:line="276" w:lineRule="auto"/>
            </w:pPr>
            <w:r>
              <w:rPr>
                <w:sz w:val="18"/>
              </w:rPr>
              <w:t>半导体展望，Bernstein、SemiAnalysis，Chipstrat 主持</w:t>
            </w:r>
          </w:p>
        </w:tc>
        <w:tc>
          <w:tcPr>
            <w:tcW w:type="dxa" w:w="4101"/>
            <w:vAlign w:val="top"/>
          </w:tcPr>
          <w:p>
            <w:pPr>
              <w:spacing w:after="80" w:before="60" w:line="276" w:lineRule="auto"/>
            </w:pPr>
            <w:r>
              <w:rPr>
                <w:sz w:val="18"/>
              </w:rPr>
              <w:t>哪个瓶颈已反映在价格，哪个仍会推迟真实交付</w:t>
            </w:r>
          </w:p>
        </w:tc>
      </w:tr>
      <w:tr>
        <w:trPr>
          <w:cantSplit/>
        </w:trPr>
        <w:tc>
          <w:tcPr>
            <w:tcW w:type="dxa" w:w="1835"/>
            <w:vAlign w:val="top"/>
          </w:tcPr>
          <w:p>
            <w:pPr>
              <w:spacing w:after="80" w:before="60" w:line="276" w:lineRule="auto"/>
            </w:pPr>
            <w:r>
              <w:rPr>
                <w:sz w:val="18"/>
              </w:rPr>
              <w:t>10/23 14:40–15:30</w:t>
            </w:r>
          </w:p>
        </w:tc>
        <w:tc>
          <w:tcPr>
            <w:tcW w:type="dxa" w:w="3957"/>
            <w:vAlign w:val="top"/>
          </w:tcPr>
          <w:p>
            <w:pPr>
              <w:spacing w:after="80" w:before="60" w:line="276" w:lineRule="auto"/>
            </w:pPr>
            <w:r>
              <w:rPr>
                <w:sz w:val="18"/>
              </w:rPr>
              <w:t>Lux Capital、Samsung Ventures America、Salience Capital、Seligman Ventures，Synopsys 主持</w:t>
            </w:r>
          </w:p>
        </w:tc>
        <w:tc>
          <w:tcPr>
            <w:tcW w:type="dxa" w:w="4101"/>
            <w:vAlign w:val="top"/>
          </w:tcPr>
          <w:p>
            <w:pPr>
              <w:spacing w:after="80" w:before="60" w:line="276" w:lineRule="auto"/>
            </w:pPr>
            <w:r>
              <w:rPr>
                <w:sz w:val="18"/>
              </w:rPr>
              <w:t>从研发到客户验收需要几轮融资，资本承诺如何覆盖周期</w:t>
            </w:r>
          </w:p>
        </w:tc>
      </w:tr>
      <w:tr>
        <w:trPr>
          <w:cantSplit/>
        </w:trPr>
        <w:tc>
          <w:tcPr>
            <w:tcW w:type="dxa" w:w="1835"/>
            <w:vAlign w:val="top"/>
          </w:tcPr>
          <w:p>
            <w:pPr>
              <w:spacing w:after="80" w:before="60" w:line="276" w:lineRule="auto"/>
            </w:pPr>
            <w:r>
              <w:rPr>
                <w:sz w:val="18"/>
              </w:rPr>
              <w:t>10/23 15:30–16:20</w:t>
            </w:r>
          </w:p>
        </w:tc>
        <w:tc>
          <w:tcPr>
            <w:tcW w:type="dxa" w:w="3957"/>
            <w:vAlign w:val="top"/>
          </w:tcPr>
          <w:p>
            <w:pPr>
              <w:spacing w:after="80" w:before="60" w:line="276" w:lineRule="auto"/>
            </w:pPr>
            <w:r>
              <w:rPr>
                <w:sz w:val="18"/>
              </w:rPr>
              <w:t>Cognichip、Rebellions、Upscale AI/Velaura AI</w:t>
            </w:r>
          </w:p>
        </w:tc>
        <w:tc>
          <w:tcPr>
            <w:tcW w:type="dxa" w:w="4101"/>
            <w:vAlign w:val="top"/>
          </w:tcPr>
          <w:p>
            <w:pPr>
              <w:spacing w:after="80" w:before="60" w:line="276" w:lineRule="auto"/>
            </w:pPr>
            <w:r>
              <w:rPr>
                <w:sz w:val="18"/>
              </w:rPr>
              <w:t>AI 设计工具、推理芯片与网络系统分别如何证明技术价值</w:t>
            </w:r>
          </w:p>
        </w:tc>
      </w:tr>
      <w:tr>
        <w:trPr>
          <w:cantSplit/>
        </w:trPr>
        <w:tc>
          <w:tcPr>
            <w:tcW w:type="dxa" w:w="1835"/>
            <w:vAlign w:val="top"/>
          </w:tcPr>
          <w:p>
            <w:pPr>
              <w:spacing w:after="80" w:before="60" w:line="276" w:lineRule="auto"/>
            </w:pPr>
            <w:r>
              <w:rPr>
                <w:sz w:val="18"/>
              </w:rPr>
              <w:t>10/23 16:20–17:10</w:t>
            </w:r>
          </w:p>
        </w:tc>
        <w:tc>
          <w:tcPr>
            <w:tcW w:type="dxa" w:w="3957"/>
            <w:vAlign w:val="top"/>
          </w:tcPr>
          <w:p>
            <w:pPr>
              <w:spacing w:after="80" w:before="60" w:line="276" w:lineRule="auto"/>
            </w:pPr>
            <w:r>
              <w:rPr>
                <w:sz w:val="18"/>
              </w:rPr>
              <w:t>SiMa.ai、Schneider Electric、d-Matrix</w:t>
            </w:r>
          </w:p>
        </w:tc>
        <w:tc>
          <w:tcPr>
            <w:tcW w:type="dxa" w:w="4101"/>
            <w:vAlign w:val="top"/>
          </w:tcPr>
          <w:p>
            <w:pPr>
              <w:spacing w:after="80" w:before="60" w:line="276" w:lineRule="auto"/>
            </w:pPr>
            <w:r>
              <w:rPr>
                <w:sz w:val="18"/>
              </w:rPr>
              <w:t>边缘与数据中心负载分别受何种电、热和延迟约束</w:t>
            </w:r>
          </w:p>
        </w:tc>
      </w:tr>
      <w:tr>
        <w:trPr>
          <w:cantSplit/>
        </w:trPr>
        <w:tc>
          <w:tcPr>
            <w:tcW w:type="dxa" w:w="1835"/>
            <w:vAlign w:val="top"/>
          </w:tcPr>
          <w:p>
            <w:pPr>
              <w:spacing w:after="80" w:before="60" w:line="276" w:lineRule="auto"/>
            </w:pPr>
            <w:r>
              <w:rPr>
                <w:sz w:val="18"/>
              </w:rPr>
              <w:t>10/24 09:55–10:15</w:t>
            </w:r>
          </w:p>
        </w:tc>
        <w:tc>
          <w:tcPr>
            <w:tcW w:type="dxa" w:w="3957"/>
            <w:vAlign w:val="top"/>
          </w:tcPr>
          <w:p>
            <w:pPr>
              <w:spacing w:after="80" w:before="60" w:line="276" w:lineRule="auto"/>
            </w:pPr>
            <w:r>
              <w:rPr>
                <w:sz w:val="18"/>
              </w:rPr>
              <w:t>Synopsys</w:t>
            </w:r>
          </w:p>
        </w:tc>
        <w:tc>
          <w:tcPr>
            <w:tcW w:type="dxa" w:w="4101"/>
            <w:vAlign w:val="top"/>
          </w:tcPr>
          <w:p>
            <w:pPr>
              <w:spacing w:after="80" w:before="60" w:line="276" w:lineRule="auto"/>
            </w:pPr>
            <w:r>
              <w:rPr>
                <w:sz w:val="18"/>
              </w:rPr>
              <w:t>AI EDA 到 signoff 的完整闭环；跨 die 热与供电如何验证</w:t>
            </w:r>
          </w:p>
        </w:tc>
      </w:tr>
      <w:tr>
        <w:trPr>
          <w:cantSplit/>
        </w:trPr>
        <w:tc>
          <w:tcPr>
            <w:tcW w:type="dxa" w:w="1835"/>
            <w:vAlign w:val="top"/>
          </w:tcPr>
          <w:p>
            <w:pPr>
              <w:spacing w:after="80" w:before="60" w:line="276" w:lineRule="auto"/>
            </w:pPr>
            <w:r>
              <w:rPr>
                <w:sz w:val="18"/>
              </w:rPr>
              <w:t>10/24 10:30–11:10</w:t>
            </w:r>
          </w:p>
        </w:tc>
        <w:tc>
          <w:tcPr>
            <w:tcW w:type="dxa" w:w="3957"/>
            <w:vAlign w:val="top"/>
          </w:tcPr>
          <w:p>
            <w:pPr>
              <w:spacing w:after="80" w:before="60" w:line="276" w:lineRule="auto"/>
            </w:pPr>
            <w:r>
              <w:rPr>
                <w:sz w:val="18"/>
              </w:rPr>
              <w:t>Solidigm、Sandisk、ScaleFlux，Temasek 主持</w:t>
            </w:r>
          </w:p>
        </w:tc>
        <w:tc>
          <w:tcPr>
            <w:tcW w:type="dxa" w:w="4101"/>
            <w:vAlign w:val="top"/>
          </w:tcPr>
          <w:p>
            <w:pPr>
              <w:spacing w:after="80" w:before="60" w:line="276" w:lineRule="auto"/>
            </w:pPr>
            <w:r>
              <w:rPr>
                <w:sz w:val="18"/>
              </w:rPr>
              <w:t>AI 存储的 QD、P99、耐久、掉电保护与系统接入瓶颈</w:t>
            </w:r>
          </w:p>
        </w:tc>
      </w:tr>
      <w:tr>
        <w:trPr>
          <w:cantSplit/>
        </w:trPr>
        <w:tc>
          <w:tcPr>
            <w:tcW w:type="dxa" w:w="1835"/>
            <w:vAlign w:val="top"/>
          </w:tcPr>
          <w:p>
            <w:pPr>
              <w:spacing w:after="80" w:before="60" w:line="276" w:lineRule="auto"/>
            </w:pPr>
            <w:r>
              <w:rPr>
                <w:sz w:val="18"/>
              </w:rPr>
              <w:t>10/24 11:10–11:50</w:t>
            </w:r>
          </w:p>
        </w:tc>
        <w:tc>
          <w:tcPr>
            <w:tcW w:type="dxa" w:w="3957"/>
            <w:vAlign w:val="top"/>
          </w:tcPr>
          <w:p>
            <w:pPr>
              <w:spacing w:after="80" w:before="60" w:line="276" w:lineRule="auto"/>
            </w:pPr>
            <w:r>
              <w:rPr>
                <w:sz w:val="18"/>
              </w:rPr>
              <w:t>Unconventional AI、Normal Computing、SambaNova</w:t>
            </w:r>
          </w:p>
        </w:tc>
        <w:tc>
          <w:tcPr>
            <w:tcW w:type="dxa" w:w="4101"/>
            <w:vAlign w:val="top"/>
          </w:tcPr>
          <w:p>
            <w:pPr>
              <w:spacing w:after="80" w:before="60" w:line="276" w:lineRule="auto"/>
            </w:pPr>
            <w:r>
              <w:rPr>
                <w:sz w:val="18"/>
              </w:rPr>
              <w:t>新原语改变哪一段工作负载；控制和读出是否计入功耗</w:t>
            </w:r>
          </w:p>
        </w:tc>
      </w:tr>
      <w:tr>
        <w:trPr>
          <w:cantSplit/>
        </w:trPr>
        <w:tc>
          <w:tcPr>
            <w:tcW w:type="dxa" w:w="1835"/>
            <w:vAlign w:val="top"/>
          </w:tcPr>
          <w:p>
            <w:pPr>
              <w:spacing w:after="80" w:before="60" w:line="276" w:lineRule="auto"/>
            </w:pPr>
            <w:r>
              <w:rPr>
                <w:sz w:val="18"/>
              </w:rPr>
              <w:t>10/24 13:00–13:20</w:t>
            </w:r>
          </w:p>
        </w:tc>
        <w:tc>
          <w:tcPr>
            <w:tcW w:type="dxa" w:w="3957"/>
            <w:vAlign w:val="top"/>
          </w:tcPr>
          <w:p>
            <w:pPr>
              <w:spacing w:after="80" w:before="60" w:line="276" w:lineRule="auto"/>
            </w:pPr>
            <w:r>
              <w:rPr>
                <w:sz w:val="18"/>
              </w:rPr>
              <w:t>Lumentum</w:t>
            </w:r>
          </w:p>
        </w:tc>
        <w:tc>
          <w:tcPr>
            <w:tcW w:type="dxa" w:w="4101"/>
            <w:vAlign w:val="top"/>
          </w:tcPr>
          <w:p>
            <w:pPr>
              <w:spacing w:after="80" w:before="60" w:line="276" w:lineRule="auto"/>
            </w:pPr>
            <w:r>
              <w:rPr>
                <w:sz w:val="18"/>
              </w:rPr>
              <w:t>EML、CW laser、CPO/ELS 的产能与可靠性验证怎样分别推进</w:t>
            </w:r>
          </w:p>
        </w:tc>
      </w:tr>
      <w:tr>
        <w:trPr>
          <w:cantSplit/>
        </w:trPr>
        <w:tc>
          <w:tcPr>
            <w:tcW w:type="dxa" w:w="1835"/>
            <w:vAlign w:val="top"/>
          </w:tcPr>
          <w:p>
            <w:pPr>
              <w:spacing w:after="80" w:before="60" w:line="276" w:lineRule="auto"/>
            </w:pPr>
            <w:r>
              <w:rPr>
                <w:sz w:val="18"/>
              </w:rPr>
              <w:t>10/24 13:20–13:40</w:t>
            </w:r>
          </w:p>
        </w:tc>
        <w:tc>
          <w:tcPr>
            <w:tcW w:type="dxa" w:w="3957"/>
            <w:vAlign w:val="top"/>
          </w:tcPr>
          <w:p>
            <w:pPr>
              <w:spacing w:after="80" w:before="60" w:line="276" w:lineRule="auto"/>
            </w:pPr>
            <w:r>
              <w:rPr>
                <w:sz w:val="18"/>
              </w:rPr>
              <w:t>Fortinet</w:t>
            </w:r>
          </w:p>
        </w:tc>
        <w:tc>
          <w:tcPr>
            <w:tcW w:type="dxa" w:w="4101"/>
            <w:vAlign w:val="top"/>
          </w:tcPr>
          <w:p>
            <w:pPr>
              <w:spacing w:after="80" w:before="60" w:line="276" w:lineRule="auto"/>
            </w:pPr>
            <w:r>
              <w:rPr>
                <w:sz w:val="18"/>
              </w:rPr>
              <w:t>自研安全 ASIC 的系统性能和软件订阅如何共同产生价值</w:t>
            </w:r>
          </w:p>
        </w:tc>
      </w:tr>
      <w:tr>
        <w:trPr>
          <w:cantSplit/>
        </w:trPr>
        <w:tc>
          <w:tcPr>
            <w:tcW w:type="dxa" w:w="1835"/>
            <w:vAlign w:val="top"/>
          </w:tcPr>
          <w:p>
            <w:pPr>
              <w:spacing w:after="80" w:before="60" w:line="276" w:lineRule="auto"/>
            </w:pPr>
            <w:r>
              <w:rPr>
                <w:sz w:val="18"/>
              </w:rPr>
              <w:t>10/24 13:40–14:00</w:t>
            </w:r>
          </w:p>
        </w:tc>
        <w:tc>
          <w:tcPr>
            <w:tcW w:type="dxa" w:w="3957"/>
            <w:vAlign w:val="top"/>
          </w:tcPr>
          <w:p>
            <w:pPr>
              <w:spacing w:after="80" w:before="60" w:line="276" w:lineRule="auto"/>
            </w:pPr>
            <w:r>
              <w:rPr>
                <w:sz w:val="18"/>
              </w:rPr>
              <w:t>Western Digital</w:t>
            </w:r>
          </w:p>
        </w:tc>
        <w:tc>
          <w:tcPr>
            <w:tcW w:type="dxa" w:w="4101"/>
            <w:vAlign w:val="top"/>
          </w:tcPr>
          <w:p>
            <w:pPr>
              <w:spacing w:after="80" w:before="60" w:line="276" w:lineRule="auto"/>
            </w:pPr>
            <w:r>
              <w:rPr>
                <w:sz w:val="18"/>
              </w:rPr>
              <w:t>HDD 容量、重建时间与数据生命周期；怎样与 SSD 协同</w:t>
            </w:r>
          </w:p>
        </w:tc>
      </w:tr>
      <w:tr>
        <w:trPr>
          <w:cantSplit/>
        </w:trPr>
        <w:tc>
          <w:tcPr>
            <w:tcW w:type="dxa" w:w="1835"/>
            <w:vAlign w:val="top"/>
          </w:tcPr>
          <w:p>
            <w:pPr>
              <w:spacing w:after="80" w:before="60" w:line="276" w:lineRule="auto"/>
            </w:pPr>
            <w:r>
              <w:rPr>
                <w:sz w:val="18"/>
              </w:rPr>
              <w:t>10/24 14:00–14:30</w:t>
            </w:r>
          </w:p>
        </w:tc>
        <w:tc>
          <w:tcPr>
            <w:tcW w:type="dxa" w:w="3957"/>
            <w:vAlign w:val="top"/>
          </w:tcPr>
          <w:p>
            <w:pPr>
              <w:spacing w:after="80" w:before="60" w:line="276" w:lineRule="auto"/>
            </w:pPr>
            <w:r>
              <w:rPr>
                <w:sz w:val="18"/>
              </w:rPr>
              <w:t>Altera、Multibeam</w:t>
            </w:r>
          </w:p>
        </w:tc>
        <w:tc>
          <w:tcPr>
            <w:tcW w:type="dxa" w:w="4101"/>
            <w:vAlign w:val="top"/>
          </w:tcPr>
          <w:p>
            <w:pPr>
              <w:spacing w:after="80" w:before="60" w:line="276" w:lineRule="auto"/>
            </w:pPr>
            <w:r>
              <w:rPr>
                <w:sz w:val="18"/>
              </w:rPr>
              <w:t>FPGA 的部署边界与电子束技术的具体工序，不把创始人背景当当前产品</w:t>
            </w:r>
          </w:p>
        </w:tc>
      </w:tr>
      <w:tr>
        <w:trPr>
          <w:cantSplit/>
        </w:trPr>
        <w:tc>
          <w:tcPr>
            <w:tcW w:type="dxa" w:w="1835"/>
            <w:vAlign w:val="top"/>
          </w:tcPr>
          <w:p>
            <w:pPr>
              <w:spacing w:after="80" w:before="60" w:line="276" w:lineRule="auto"/>
            </w:pPr>
            <w:r>
              <w:rPr>
                <w:sz w:val="18"/>
              </w:rPr>
              <w:t>10/24 14:40–15:20</w:t>
            </w:r>
          </w:p>
        </w:tc>
        <w:tc>
          <w:tcPr>
            <w:tcW w:type="dxa" w:w="3957"/>
            <w:vAlign w:val="top"/>
          </w:tcPr>
          <w:p>
            <w:pPr>
              <w:spacing w:after="80" w:before="60" w:line="276" w:lineRule="auto"/>
            </w:pPr>
            <w:r>
              <w:rPr>
                <w:sz w:val="18"/>
              </w:rPr>
              <w:t>Ricursive Intelligence、Etched、Siemens</w:t>
            </w:r>
          </w:p>
        </w:tc>
        <w:tc>
          <w:tcPr>
            <w:tcW w:type="dxa" w:w="4101"/>
            <w:vAlign w:val="top"/>
          </w:tcPr>
          <w:p>
            <w:pPr>
              <w:spacing w:after="80" w:before="60" w:line="276" w:lineRule="auto"/>
            </w:pPr>
            <w:r>
              <w:rPr>
                <w:sz w:val="18"/>
              </w:rPr>
              <w:t>自动设计与新架构分别怎样通过真实硅和软件验证</w:t>
            </w:r>
          </w:p>
        </w:tc>
      </w:tr>
      <w:tr>
        <w:trPr>
          <w:cantSplit/>
        </w:trPr>
        <w:tc>
          <w:tcPr>
            <w:tcW w:type="dxa" w:w="1835"/>
            <w:vAlign w:val="top"/>
          </w:tcPr>
          <w:p>
            <w:pPr>
              <w:spacing w:after="80" w:before="60" w:line="276" w:lineRule="auto"/>
            </w:pPr>
            <w:r>
              <w:rPr>
                <w:sz w:val="18"/>
              </w:rPr>
              <w:t>10/24 15:20–16:00</w:t>
            </w:r>
          </w:p>
        </w:tc>
        <w:tc>
          <w:tcPr>
            <w:tcW w:type="dxa" w:w="3957"/>
            <w:vAlign w:val="top"/>
          </w:tcPr>
          <w:p>
            <w:pPr>
              <w:spacing w:after="80" w:before="60" w:line="276" w:lineRule="auto"/>
            </w:pPr>
            <w:r>
              <w:rPr>
                <w:sz w:val="18"/>
              </w:rPr>
              <w:t>Silith、Ayar Labs、Semtech</w:t>
            </w:r>
          </w:p>
        </w:tc>
        <w:tc>
          <w:tcPr>
            <w:tcW w:type="dxa" w:w="4101"/>
            <w:vAlign w:val="top"/>
          </w:tcPr>
          <w:p>
            <w:pPr>
              <w:spacing w:after="80" w:before="60" w:line="276" w:lineRule="auto"/>
            </w:pPr>
            <w:r>
              <w:rPr>
                <w:sz w:val="18"/>
              </w:rPr>
              <w:t>光 I/O、激光、封装与模块的边界；多少成本在光学对准和测试</w:t>
            </w:r>
          </w:p>
        </w:tc>
      </w:tr>
      <w:tr>
        <w:trPr>
          <w:cantSplit/>
        </w:trPr>
        <w:tc>
          <w:tcPr>
            <w:tcW w:type="dxa" w:w="1835"/>
            <w:vAlign w:val="top"/>
          </w:tcPr>
          <w:p>
            <w:pPr>
              <w:spacing w:after="80" w:before="60" w:line="276" w:lineRule="auto"/>
            </w:pPr>
            <w:r>
              <w:rPr>
                <w:sz w:val="18"/>
              </w:rPr>
              <w:t>10/24 16:00–16:30</w:t>
            </w:r>
          </w:p>
        </w:tc>
        <w:tc>
          <w:tcPr>
            <w:tcW w:type="dxa" w:w="3957"/>
            <w:vAlign w:val="top"/>
          </w:tcPr>
          <w:p>
            <w:pPr>
              <w:spacing w:after="80" w:before="60" w:line="276" w:lineRule="auto"/>
            </w:pPr>
            <w:r>
              <w:rPr>
                <w:sz w:val="18"/>
              </w:rPr>
              <w:t>Cerebras</w:t>
            </w:r>
          </w:p>
        </w:tc>
        <w:tc>
          <w:tcPr>
            <w:tcW w:type="dxa" w:w="4101"/>
            <w:vAlign w:val="top"/>
          </w:tcPr>
          <w:p>
            <w:pPr>
              <w:spacing w:after="80" w:before="60" w:line="276" w:lineRule="auto"/>
            </w:pPr>
            <w:r>
              <w:rPr>
                <w:sz w:val="18"/>
              </w:rPr>
              <w:t>晶圆级架构在实际模型、并发和可用性上的优势与限制</w:t>
            </w:r>
          </w:p>
        </w:tc>
      </w:tr>
      <w:tr>
        <w:trPr>
          <w:cantSplit/>
        </w:trPr>
        <w:tc>
          <w:tcPr>
            <w:tcW w:type="dxa" w:w="1835"/>
            <w:vAlign w:val="top"/>
          </w:tcPr>
          <w:p>
            <w:pPr>
              <w:spacing w:after="80" w:before="60" w:line="276" w:lineRule="auto"/>
            </w:pPr>
            <w:r>
              <w:rPr>
                <w:sz w:val="18"/>
              </w:rPr>
              <w:t>10/24 19:45–20:45</w:t>
            </w:r>
          </w:p>
        </w:tc>
        <w:tc>
          <w:tcPr>
            <w:tcW w:type="dxa" w:w="3957"/>
            <w:vAlign w:val="top"/>
          </w:tcPr>
          <w:p>
            <w:pPr>
              <w:spacing w:after="80" w:before="60" w:line="276" w:lineRule="auto"/>
            </w:pPr>
            <w:r>
              <w:rPr>
                <w:sz w:val="18"/>
              </w:rPr>
              <w:t>Intel 晚宴对谈</w:t>
            </w:r>
          </w:p>
        </w:tc>
        <w:tc>
          <w:tcPr>
            <w:tcW w:type="dxa" w:w="4101"/>
            <w:vAlign w:val="top"/>
          </w:tcPr>
          <w:p>
            <w:pPr>
              <w:spacing w:after="80" w:before="60" w:line="276" w:lineRule="auto"/>
            </w:pPr>
            <w:r>
              <w:rPr>
                <w:sz w:val="18"/>
              </w:rPr>
              <w:t>产品设计、foundry 与先进封装业务如何分别验证执行能力</w:t>
            </w:r>
          </w:p>
        </w:tc>
      </w:tr>
    </w:tbl>
    <w:p>
      <w:pPr>
        <w:spacing w:after="0"/>
      </w:pPr>
    </w:p>
    <w:p>
      <w:pPr/>
      <w:r>
        <w:t>时间与参与机构来源为官网议程；右列为本报告提问建议。</w:t>
      </w:r>
      <w:hyperlink r:id="rId313">
        <w:r>
          <w:rPr>
            <w:color w:val="4338CA"/>
          </w:rPr>
          <w:t>[R001]</w:t>
        </w:r>
      </w:hyperlink>
      <w:r>
        <w:t xml:space="preserve"> SEMI、IEEE、GSA 另有产业、标准与协作主题，可用于询问互操作、可靠性与人才，而不将其当成器件供应商。</w:t>
      </w:r>
      <w:hyperlink r:id="rId13">
        <w:r>
          <w:rPr>
            <w:color w:val="4338CA"/>
          </w:rPr>
          <w:t>[R002]</w:t>
        </w:r>
      </w:hyperlink>
    </w:p>
    <w:p>
      <w:pPr>
        <w:pStyle w:val="Heading2"/>
      </w:pPr>
      <w:r>
        <w:t xml:space="preserve">活动公司在产业链中的位置</w:t>
      </w:r>
    </w:p>
    <w:p>
      <w:pPr/>
      <w:r>
        <w:t xml:space="preserve">主讲公司的技术资料分别进入计算、存储、光互联、能源与 EDA 章节。另需明确：Fortinet 的安全处理器属于安全与网络处理，不等同 GPU 后端 fabric；Rambus 的接口 IP/内存接口相关能力位于设计和连接层；Silvaco 处于半导体设计工具/技术平台生态。官方产品资料及证据范围详见来源附录，未核查的产品细节不从活动 logo 推导。</w:t>
      </w:r>
      <w:hyperlink r:id="rId314">
        <w:r>
          <w:rPr>
            <w:color w:val="4338CA"/>
          </w:rPr>
          <w:t>[R039]</w:t>
        </w:r>
      </w:hyperlink>
      <w:hyperlink r:id="rId315">
        <w:r>
          <w:rPr>
            <w:color w:val="4338CA"/>
          </w:rPr>
          <w:t>[R040]</w:t>
        </w:r>
      </w:hyperlink>
      <w:hyperlink r:id="rId316">
        <w:r>
          <w:rPr>
            <w:color w:val="4338CA"/>
          </w:rPr>
          <w:t>[R041]</w:t>
        </w:r>
      </w:hyperlink>
    </w:p>
    <w:p>
      <w:pPr/>
      <w:r>
        <w:t xml:space="preserve">当前嘉宾页面给 Solidigm 的上台代表是 </w:t>
      </w:r>
      <w:r>
        <w:rPr>
          <w:b/>
        </w:rPr>
        <w:t>Avi Shetty，Vice President</w:t>
      </w:r>
      <w:r>
        <w:t xml:space="preserve">，Upscale AI/Velaura AI 的代表是 </w:t>
      </w:r>
      <w:r>
        <w:rPr>
          <w:b/>
        </w:rPr>
        <w:t>Rajiv Khemani，分别为 Executive Chairman/CEO</w:t>
      </w:r>
      <w:r>
        <w:t>。这些与较早宣传文案不同，现场优先核对。</w:t>
      </w:r>
      <w:hyperlink r:id="rId13">
        <w:r>
          <w:rPr>
            <w:color w:val="4338CA"/>
          </w:rPr>
          <w:t>[R002]</w:t>
        </w:r>
      </w:hyperlink>
    </w:p>
    <w:p>
      <w:pPr>
        <w:pStyle w:val="Heading2"/>
      </w:pPr>
      <w:r>
        <w:t>赞助与展台名录</w:t>
      </w:r>
    </w:p>
    <w:p>
      <w:pPr/>
      <w:r>
        <w:t>以下仅确认活动网页上出现该品牌，不据此认定其与某大厂有供应、投资或认证关系。</w:t>
      </w:r>
      <w:hyperlink r:id="rId317">
        <w:r>
          <w:rPr>
            <w:color w:val="4338CA"/>
          </w:rPr>
          <w:t>[R003]</w:t>
        </w:r>
      </w:hyperlink>
    </w:p>
    <w:tbl>
      <w:tblPr>
        <w:tblW w:type="auto" w:w="0"/>
        <w:jc w:val="center"/>
        <w:tblLayout w:type="fixed"/>
        <w:tblLook w:firstColumn="1" w:firstRow="1" w:lastColumn="0" w:lastRow="0" w:noHBand="0" w:noVBand="1" w:val="04A0"/>
      </w:tblPr>
      <w:tblGrid>
        <w:gridCol w:w="1793"/>
        <w:gridCol w:w="4184"/>
        <w:gridCol w:w="3915"/>
      </w:tblGrid>
      <w:tr>
        <w:trPr>
          <w:tblHeader/>
        </w:trPr>
        <w:tc>
          <w:tcPr>
            <w:tcW w:type="dxa" w:w="1793"/>
            <w:vAlign w:val="top"/>
            <w:shd w:fill="E0E7FF"/>
          </w:tcPr>
          <w:p>
            <w:pPr>
              <w:spacing w:after="80" w:before="60" w:line="276" w:lineRule="auto"/>
            </w:pPr>
            <w:r>
              <w:rPr>
                <w:b/>
                <w:sz w:val="18"/>
              </w:rPr>
              <w:t>网页分类</w:t>
            </w:r>
          </w:p>
        </w:tc>
        <w:tc>
          <w:tcPr>
            <w:tcW w:type="dxa" w:w="4184"/>
            <w:vAlign w:val="top"/>
            <w:shd w:fill="E0E7FF"/>
          </w:tcPr>
          <w:p>
            <w:pPr>
              <w:spacing w:after="80" w:before="60" w:line="276" w:lineRule="auto"/>
            </w:pPr>
            <w:r>
              <w:rPr>
                <w:b/>
                <w:sz w:val="18"/>
              </w:rPr>
              <w:t>品牌名称</w:t>
            </w:r>
          </w:p>
        </w:tc>
        <w:tc>
          <w:tcPr>
            <w:tcW w:type="dxa" w:w="3915"/>
            <w:vAlign w:val="top"/>
            <w:shd w:fill="E0E7FF"/>
          </w:tcPr>
          <w:p>
            <w:pPr>
              <w:spacing w:after="80" w:before="60" w:line="276" w:lineRule="auto"/>
            </w:pPr>
            <w:r>
              <w:rPr>
                <w:b/>
                <w:sz w:val="18"/>
              </w:rPr>
              <w:t>产业研究处理</w:t>
            </w:r>
          </w:p>
        </w:tc>
      </w:tr>
      <w:tr>
        <w:trPr>
          <w:cantSplit/>
        </w:trPr>
        <w:tc>
          <w:tcPr>
            <w:tcW w:type="dxa" w:w="1793"/>
            <w:vAlign w:val="top"/>
          </w:tcPr>
          <w:p>
            <w:pPr>
              <w:spacing w:after="80" w:before="60" w:line="276" w:lineRule="auto"/>
            </w:pPr>
            <w:r>
              <w:rPr>
                <w:sz w:val="18"/>
              </w:rPr>
              <w:t>Event Sponsors</w:t>
            </w:r>
          </w:p>
        </w:tc>
        <w:tc>
          <w:tcPr>
            <w:tcW w:type="dxa" w:w="4184"/>
            <w:vAlign w:val="top"/>
          </w:tcPr>
          <w:p>
            <w:pPr>
              <w:spacing w:after="80" w:before="60" w:line="276" w:lineRule="auto"/>
            </w:pPr>
            <w:r>
              <w:rPr>
                <w:sz w:val="18"/>
              </w:rPr>
              <w:t>STATS ChipPAC、Solidigm</w:t>
            </w:r>
          </w:p>
        </w:tc>
        <w:tc>
          <w:tcPr>
            <w:tcW w:type="dxa" w:w="3915"/>
            <w:vAlign w:val="top"/>
          </w:tcPr>
          <w:p>
            <w:pPr>
              <w:spacing w:after="80" w:before="60" w:line="276" w:lineRule="auto"/>
            </w:pPr>
            <w:r>
              <w:rPr>
                <w:sz w:val="18"/>
              </w:rPr>
              <w:t>封装测试与存储，正文对应模块展开</w:t>
            </w:r>
          </w:p>
        </w:tc>
      </w:tr>
      <w:tr>
        <w:trPr>
          <w:cantSplit/>
        </w:trPr>
        <w:tc>
          <w:tcPr>
            <w:tcW w:type="dxa" w:w="1793"/>
            <w:vAlign w:val="top"/>
          </w:tcPr>
          <w:p>
            <w:pPr>
              <w:spacing w:after="80" w:before="60" w:line="276" w:lineRule="auto"/>
            </w:pPr>
            <w:r>
              <w:rPr>
                <w:sz w:val="18"/>
              </w:rPr>
              <w:t>Table Sponsors 已可识别大型/技术品牌</w:t>
            </w:r>
          </w:p>
        </w:tc>
        <w:tc>
          <w:tcPr>
            <w:tcW w:type="dxa" w:w="4184"/>
            <w:vAlign w:val="top"/>
          </w:tcPr>
          <w:p>
            <w:pPr>
              <w:spacing w:after="80" w:before="60" w:line="276" w:lineRule="auto"/>
            </w:pPr>
            <w:r>
              <w:rPr>
                <w:sz w:val="18"/>
              </w:rPr>
              <w:t>Meta、Western Digital、Siemens、Credo、Rambus、Silvaco、Normal Computing、Silith、TetraMem、Multibeam</w:t>
            </w:r>
          </w:p>
        </w:tc>
        <w:tc>
          <w:tcPr>
            <w:tcW w:type="dxa" w:w="3915"/>
            <w:vAlign w:val="top"/>
          </w:tcPr>
          <w:p>
            <w:pPr>
              <w:spacing w:after="80" w:before="60" w:line="276" w:lineRule="auto"/>
            </w:pPr>
            <w:r>
              <w:rPr>
                <w:sz w:val="18"/>
              </w:rPr>
              <w:t>分别为需求方、存储、设计工具、连接、IP、计算/光学等入口；小型企业仍需官网/法律实体核验</w:t>
            </w:r>
          </w:p>
        </w:tc>
      </w:tr>
      <w:tr>
        <w:trPr>
          <w:cantSplit/>
        </w:trPr>
        <w:tc>
          <w:tcPr>
            <w:tcW w:type="dxa" w:w="1793"/>
            <w:vAlign w:val="top"/>
          </w:tcPr>
          <w:p>
            <w:pPr>
              <w:spacing w:after="80" w:before="60" w:line="276" w:lineRule="auto"/>
            </w:pPr>
            <w:r>
              <w:rPr>
                <w:sz w:val="18"/>
              </w:rPr>
              <w:t>Table Sponsors 需进一步实体核实</w:t>
            </w:r>
          </w:p>
        </w:tc>
        <w:tc>
          <w:tcPr>
            <w:tcW w:type="dxa" w:w="4184"/>
            <w:vAlign w:val="top"/>
          </w:tcPr>
          <w:p>
            <w:pPr>
              <w:spacing w:after="80" w:before="60" w:line="276" w:lineRule="auto"/>
            </w:pPr>
            <w:r>
              <w:rPr>
                <w:sz w:val="18"/>
              </w:rPr>
              <w:t>Infraeo、DeepWeave、Urbot、Architect Labs、SufasTech、OpenNetwork、WGTech、Far East、Himalaya、T3W、Futurus、YouAndI、Playbook / OpenExt</w:t>
            </w:r>
          </w:p>
        </w:tc>
        <w:tc>
          <w:tcPr>
            <w:tcW w:type="dxa" w:w="3915"/>
            <w:vAlign w:val="top"/>
          </w:tcPr>
          <w:p>
            <w:pPr>
              <w:spacing w:after="80" w:before="60" w:line="276" w:lineRule="auto"/>
            </w:pPr>
            <w:r>
              <w:rPr>
                <w:sz w:val="18"/>
              </w:rPr>
              <w:t xml:space="preserve">保留官网原字符串；同名企业较多，尚不能确定对应的法律实体或产品线</w:t>
            </w:r>
          </w:p>
        </w:tc>
      </w:tr>
      <w:tr>
        <w:trPr>
          <w:cantSplit/>
        </w:trPr>
        <w:tc>
          <w:tcPr>
            <w:tcW w:type="dxa" w:w="1793"/>
            <w:vAlign w:val="top"/>
          </w:tcPr>
          <w:p>
            <w:pPr>
              <w:spacing w:after="80" w:before="60" w:line="276" w:lineRule="auto"/>
            </w:pPr>
            <w:r>
              <w:rPr>
                <w:sz w:val="18"/>
              </w:rPr>
              <w:t>Display Tables</w:t>
            </w:r>
          </w:p>
        </w:tc>
        <w:tc>
          <w:tcPr>
            <w:tcW w:type="dxa" w:w="4184"/>
            <w:vAlign w:val="top"/>
          </w:tcPr>
          <w:p>
            <w:pPr>
              <w:spacing w:after="80" w:before="60" w:line="276" w:lineRule="auto"/>
            </w:pPr>
            <w:r>
              <w:rPr>
                <w:sz w:val="18"/>
              </w:rPr>
              <w:t>Western Digital、EY、TGV Tech、Architect Labs、PuppyGraph、Phantafield、Wiskind、UpMarket</w:t>
            </w:r>
          </w:p>
        </w:tc>
        <w:tc>
          <w:tcPr>
            <w:tcW w:type="dxa" w:w="3915"/>
            <w:vAlign w:val="top"/>
          </w:tcPr>
          <w:p>
            <w:pPr>
              <w:spacing w:after="80" w:before="60" w:line="276" w:lineRule="auto"/>
            </w:pPr>
            <w:r>
              <w:rPr>
                <w:sz w:val="18"/>
              </w:rPr>
              <w:t>不把展台身份当成 AI 硬件供应商证明；未核准实体作为现场核查列表</w:t>
            </w:r>
          </w:p>
        </w:tc>
      </w:tr>
    </w:tbl>
    <w:p>
      <w:pPr>
        <w:spacing w:after="0"/>
      </w:pPr>
    </w:p>
    <w:p>
      <w:pPr/>
      <w:r>
        <w:t>活动还出现 CASPA、IEEE、GSA、GPT.DAO、VIP Club、CEO、SESE、PopPopTech、CIE-SF 等联盟或社区名称；讲者/主持机构还包括 UC Berkeley、San Jose 市、Silicon Catalyst、Reuters、SemiWiki、Semiconductor Engineering、EE Times、ABC7、Vista Robotics 与 Silicon Valley Vector。</w:t>
      </w:r>
      <w:hyperlink r:id="rId13">
        <w:r>
          <w:rPr>
            <w:color w:val="4338CA"/>
          </w:rPr>
          <w:t>[R002]</w:t>
        </w:r>
      </w:hyperlink>
      <w:hyperlink r:id="rId317">
        <w:r>
          <w:rPr>
            <w:color w:val="4338CA"/>
          </w:rPr>
          <w:t>[R003]</w:t>
        </w:r>
      </w:hyperlink>
      <w:r>
        <w:t xml:space="preserve"> 它们在报告中承担组织、知识、投资或媒体入口，不能放进芯片设备竞争表。</w:t>
      </w:r>
    </w:p>
    <w:p>
      <w:pPr>
        <w:pStyle w:val="Heading2"/>
      </w:pPr>
      <w:r>
        <w:t>对新创公司的三句尽调</w:t>
      </w:r>
    </w:p>
    <w:p>
      <w:pPr/>
      <w:r>
        <w:t>第一句：“你卖的是芯片、模组、系统、软件许可还是服务，客户在哪里验收？”第二句：“目前最难通过的性能或可靠性门槛是什么，哪些数据能公开复核？”第三句：“量产增长先增加设备、材料、工程师还是营运资本？”先确认这三点，再讨论融资、估值或市场规模，可以避免把研发项目误判为成熟供给。</w:t>
      </w:r>
    </w:p>
    <w:p>
      <w:pPr>
        <w:pStyle w:val="Heading1"/>
        <w:pageBreakBefore/>
      </w:pPr>
      <w:r>
        <w:t>10  技术壁垒与投资验证</w:t>
      </w:r>
    </w:p>
    <w:p>
      <w:r>
        <w:drawing>
          <wp:inline xmlns:a="http://schemas.openxmlformats.org/drawingml/2006/main" xmlns:pic="http://schemas.openxmlformats.org/drawingml/2006/picture">
            <wp:extent cx="6281928" cy="4445477"/>
            <wp:docPr id="6" name="Picture 6"/>
            <wp:cNvGraphicFramePr>
              <a:graphicFrameLocks noChangeAspect="1"/>
            </wp:cNvGraphicFramePr>
            <a:graphic>
              <a:graphicData uri="http://schemas.openxmlformats.org/drawingml/2006/picture">
                <pic:pic>
                  <pic:nvPicPr>
                    <pic:cNvPr id="0" name="06-value-chain.png"/>
                    <pic:cNvPicPr/>
                  </pic:nvPicPr>
                  <pic:blipFill>
                    <a:blip r:embed="rId318"/>
                    <a:stretch>
                      <a:fillRect/>
                    </a:stretch>
                  </pic:blipFill>
                  <pic:spPr>
                    <a:xfrm>
                      <a:off x="0" y="0"/>
                      <a:ext cx="6281928" cy="4445477"/>
                    </a:xfrm>
                    <a:prstGeom prst="rect"/>
                  </pic:spPr>
                </pic:pic>
              </a:graphicData>
            </a:graphic>
          </wp:inline>
        </w:drawing>
      </w:r>
    </w:p>
    <w:p>
      <w:pPr>
        <w:jc w:val="center"/>
      </w:pPr>
      <w:r>
        <w:t>技术壁垒的投资验证链</w:t>
      </w:r>
    </w:p>
    <w:p>
      <w:pPr>
        <w:pStyle w:val="Heading2"/>
      </w:pPr>
      <w:r>
        <w:t>从工程难点到经济回报</w:t>
      </w:r>
    </w:p>
    <w:p>
      <w:pPr/>
      <w:r>
        <w:t>本节提出可证伪研究假设，不给没有估值与现金流模型支撑的买入排序。投资判断至少经过五步：确认目标工艺/系统中的不可缺部件；证明供应商达成指标；证明客户长期使用且替换成本高；证明收入与现金可兑现；再看当前价格是否已经透支预期。前一步成立不能自动证明后一步。</w:t>
      </w:r>
    </w:p>
    <w:p>
      <w:pPr/>
      <w:r>
        <w:t>技术护城河可以来自精度、材料知识、工艺窗口、复杂集成、软件与数据，也可能来自规模良率、维修网络和长期认证。评估时问“竞争者能否以同样成本、良率、吞吐量和稳定性达到同样指标”，比“能否做出样机”更接近商业竞争。这是本报告的评估方法；光子装配与测试的具体能力和验收边界见相关产品资料。</w:t>
      </w:r>
      <w:hyperlink r:id="rId238">
        <w:r>
          <w:rPr>
            <w:color w:val="4338CA"/>
          </w:rPr>
          <w:t>[F036]</w:t>
        </w:r>
      </w:hyperlink>
      <w:hyperlink r:id="rId279">
        <w:r>
          <w:rPr>
            <w:color w:val="4338CA"/>
          </w:rPr>
          <w:t>[F037]</w:t>
        </w:r>
      </w:hyperlink>
      <w:hyperlink r:id="rId280">
        <w:r>
          <w:rPr>
            <w:color w:val="4338CA"/>
          </w:rPr>
          <w:t>[F071]</w:t>
        </w:r>
      </w:hyperlink>
      <w:hyperlink r:id="rId281">
        <w:r>
          <w:rPr>
            <w:color w:val="4338CA"/>
          </w:rPr>
          <w:t>[F082]</w:t>
        </w:r>
      </w:hyperlink>
    </w:p>
    <w:p>
      <w:pPr>
        <w:pStyle w:val="Heading2"/>
      </w:pPr>
      <w:r>
        <w:t>七类值得深入的假设</w:t>
      </w:r>
    </w:p>
    <w:tbl>
      <w:tblPr>
        <w:tblW w:type="auto" w:w="0"/>
        <w:jc w:val="center"/>
        <w:tblLayout w:type="fixed"/>
        <w:tblLook w:firstColumn="1" w:firstRow="1" w:lastColumn="0" w:lastRow="0" w:noHBand="0" w:noVBand="1" w:val="04A0"/>
      </w:tblPr>
      <w:tblGrid>
        <w:gridCol w:w="1496"/>
        <w:gridCol w:w="2695"/>
        <w:gridCol w:w="2711"/>
        <w:gridCol w:w="2991"/>
      </w:tblGrid>
      <w:tr>
        <w:trPr>
          <w:tblHeader/>
        </w:trPr>
        <w:tc>
          <w:tcPr>
            <w:tcW w:type="dxa" w:w="1496"/>
            <w:vAlign w:val="top"/>
            <w:shd w:fill="E0E7FF"/>
          </w:tcPr>
          <w:p>
            <w:pPr>
              <w:spacing w:after="80" w:before="60" w:line="276" w:lineRule="auto"/>
            </w:pPr>
            <w:r>
              <w:rPr>
                <w:b/>
                <w:sz w:val="18"/>
              </w:rPr>
              <w:t>假设</w:t>
            </w:r>
          </w:p>
        </w:tc>
        <w:tc>
          <w:tcPr>
            <w:tcW w:type="dxa" w:w="2695"/>
            <w:vAlign w:val="top"/>
            <w:shd w:fill="E0E7FF"/>
          </w:tcPr>
          <w:p>
            <w:pPr>
              <w:spacing w:after="80" w:before="60" w:line="276" w:lineRule="auto"/>
            </w:pPr>
            <w:r>
              <w:rPr>
                <w:b/>
                <w:sz w:val="18"/>
              </w:rPr>
              <w:t>候选产业入口</w:t>
            </w:r>
          </w:p>
        </w:tc>
        <w:tc>
          <w:tcPr>
            <w:tcW w:type="dxa" w:w="2711"/>
            <w:vAlign w:val="top"/>
            <w:shd w:fill="E0E7FF"/>
          </w:tcPr>
          <w:p>
            <w:pPr>
              <w:spacing w:after="80" w:before="60" w:line="276" w:lineRule="auto"/>
            </w:pPr>
            <w:r>
              <w:rPr>
                <w:b/>
                <w:sz w:val="18"/>
              </w:rPr>
              <w:t>成立所需证据</w:t>
            </w:r>
          </w:p>
        </w:tc>
        <w:tc>
          <w:tcPr>
            <w:tcW w:type="dxa" w:w="2991"/>
            <w:vAlign w:val="top"/>
            <w:shd w:fill="E0E7FF"/>
          </w:tcPr>
          <w:p>
            <w:pPr>
              <w:spacing w:after="80" w:before="60" w:line="276" w:lineRule="auto"/>
            </w:pPr>
            <w:r>
              <w:rPr>
                <w:b/>
                <w:sz w:val="18"/>
              </w:rPr>
              <w:t>可能推翻它的情况</w:t>
            </w:r>
          </w:p>
        </w:tc>
      </w:tr>
      <w:tr>
        <w:trPr>
          <w:cantSplit/>
        </w:trPr>
        <w:tc>
          <w:tcPr>
            <w:tcW w:type="dxa" w:w="1496"/>
            <w:vAlign w:val="top"/>
          </w:tcPr>
          <w:p>
            <w:pPr>
              <w:spacing w:after="80" w:before="60" w:line="276" w:lineRule="auto"/>
            </w:pPr>
            <w:r>
              <w:rPr>
                <w:sz w:val="18"/>
              </w:rPr>
              <w:t>高带宽互联使光学制造瓶颈外溢到设备</w:t>
            </w:r>
          </w:p>
        </w:tc>
        <w:tc>
          <w:tcPr>
            <w:tcW w:type="dxa" w:w="2695"/>
            <w:vAlign w:val="top"/>
          </w:tcPr>
          <w:p>
            <w:pPr>
              <w:spacing w:after="80" w:before="60" w:line="276" w:lineRule="auto"/>
            </w:pPr>
            <w:r>
              <w:rPr>
                <w:sz w:val="18"/>
              </w:rPr>
              <w:t>ficonTEC/罗博特科、光测试与精密装配同行</w:t>
            </w:r>
          </w:p>
        </w:tc>
        <w:tc>
          <w:tcPr>
            <w:tcW w:type="dxa" w:w="2711"/>
            <w:vAlign w:val="top"/>
          </w:tcPr>
          <w:p>
            <w:pPr>
              <w:spacing w:after="80" w:before="60" w:line="276" w:lineRule="auto"/>
            </w:pPr>
            <w:r>
              <w:rPr>
                <w:sz w:val="18"/>
              </w:rPr>
              <w:t>客户产线的重复订单、耦合良率、UPH、稳定性与售后收入</w:t>
            </w:r>
          </w:p>
        </w:tc>
        <w:tc>
          <w:tcPr>
            <w:tcW w:type="dxa" w:w="2991"/>
            <w:vAlign w:val="top"/>
          </w:tcPr>
          <w:p>
            <w:pPr>
              <w:spacing w:after="80" w:before="60" w:line="276" w:lineRule="auto"/>
            </w:pPr>
            <w:r>
              <w:rPr>
                <w:sz w:val="18"/>
              </w:rPr>
              <w:t>另一工艺显著减少对准次数；客户内制；替代设备达成同样成本</w:t>
            </w:r>
          </w:p>
        </w:tc>
      </w:tr>
      <w:tr>
        <w:trPr>
          <w:cantSplit/>
        </w:trPr>
        <w:tc>
          <w:tcPr>
            <w:tcW w:type="dxa" w:w="1496"/>
            <w:vAlign w:val="top"/>
          </w:tcPr>
          <w:p>
            <w:pPr>
              <w:spacing w:after="80" w:before="60" w:line="276" w:lineRule="auto"/>
            </w:pPr>
            <w:r>
              <w:rPr>
                <w:sz w:val="18"/>
              </w:rPr>
              <w:t>先进封装的瓶颈向前后工序扩散</w:t>
            </w:r>
          </w:p>
        </w:tc>
        <w:tc>
          <w:tcPr>
            <w:tcW w:type="dxa" w:w="2695"/>
            <w:vAlign w:val="top"/>
          </w:tcPr>
          <w:p>
            <w:pPr>
              <w:spacing w:after="80" w:before="60" w:line="276" w:lineRule="auto"/>
            </w:pPr>
            <w:r>
              <w:rPr>
                <w:sz w:val="18"/>
              </w:rPr>
              <w:t>键合、减薄、切割、翘曲检测、探针与 ATE</w:t>
            </w:r>
          </w:p>
        </w:tc>
        <w:tc>
          <w:tcPr>
            <w:tcW w:type="dxa" w:w="2711"/>
            <w:vAlign w:val="top"/>
          </w:tcPr>
          <w:p>
            <w:pPr>
              <w:spacing w:after="80" w:before="60" w:line="276" w:lineRule="auto"/>
            </w:pPr>
            <w:r>
              <w:rPr>
                <w:sz w:val="18"/>
              </w:rPr>
              <w:t>具体节点/封装的产能利用率、交期、客户认证与单位收入</w:t>
            </w:r>
          </w:p>
        </w:tc>
        <w:tc>
          <w:tcPr>
            <w:tcW w:type="dxa" w:w="2991"/>
            <w:vAlign w:val="top"/>
          </w:tcPr>
          <w:p>
            <w:pPr>
              <w:spacing w:after="80" w:before="60" w:line="276" w:lineRule="auto"/>
            </w:pPr>
            <w:r>
              <w:rPr>
                <w:sz w:val="18"/>
              </w:rPr>
              <w:t>HBM/logic需求下降；封装架构改变；重复扩产造成供过于求</w:t>
            </w:r>
          </w:p>
        </w:tc>
      </w:tr>
      <w:tr>
        <w:trPr>
          <w:cantSplit/>
        </w:trPr>
        <w:tc>
          <w:tcPr>
            <w:tcW w:type="dxa" w:w="1496"/>
            <w:vAlign w:val="top"/>
          </w:tcPr>
          <w:p>
            <w:pPr>
              <w:spacing w:after="80" w:before="60" w:line="276" w:lineRule="auto"/>
            </w:pPr>
            <w:r>
              <w:rPr>
                <w:sz w:val="18"/>
              </w:rPr>
              <w:t>功率密度提高增加电力与热系统价值量</w:t>
            </w:r>
          </w:p>
        </w:tc>
        <w:tc>
          <w:tcPr>
            <w:tcW w:type="dxa" w:w="2695"/>
            <w:vAlign w:val="top"/>
          </w:tcPr>
          <w:p>
            <w:pPr>
              <w:spacing w:after="80" w:before="60" w:line="276" w:lineRule="auto"/>
            </w:pPr>
            <w:r>
              <w:rPr>
                <w:sz w:val="18"/>
              </w:rPr>
              <w:t>变压器、母排、PSU、VRM、CDU、冷板、连接器</w:t>
            </w:r>
          </w:p>
        </w:tc>
        <w:tc>
          <w:tcPr>
            <w:tcW w:type="dxa" w:w="2711"/>
            <w:vAlign w:val="top"/>
          </w:tcPr>
          <w:p>
            <w:pPr>
              <w:spacing w:after="80" w:before="60" w:line="276" w:lineRule="auto"/>
            </w:pPr>
            <w:r>
              <w:rPr>
                <w:sz w:val="18"/>
              </w:rPr>
              <w:t>已送电项目、系统验收、可靠性和每MW实际订单</w:t>
            </w:r>
          </w:p>
        </w:tc>
        <w:tc>
          <w:tcPr>
            <w:tcW w:type="dxa" w:w="2991"/>
            <w:vAlign w:val="top"/>
          </w:tcPr>
          <w:p>
            <w:pPr>
              <w:spacing w:after="80" w:before="60" w:line="276" w:lineRule="auto"/>
            </w:pPr>
            <w:r>
              <w:rPr>
                <w:sz w:val="18"/>
              </w:rPr>
              <w:t>交付推迟；标准化压价；客户总功率上限限制装机</w:t>
            </w:r>
          </w:p>
        </w:tc>
      </w:tr>
      <w:tr>
        <w:trPr>
          <w:cantSplit/>
        </w:trPr>
        <w:tc>
          <w:tcPr>
            <w:tcW w:type="dxa" w:w="1496"/>
            <w:vAlign w:val="top"/>
          </w:tcPr>
          <w:p>
            <w:pPr>
              <w:spacing w:after="80" w:before="60" w:line="276" w:lineRule="auto"/>
            </w:pPr>
            <w:r>
              <w:rPr>
                <w:sz w:val="18"/>
              </w:rPr>
              <w:t>存储价值由容量转向可预测服务</w:t>
            </w:r>
          </w:p>
        </w:tc>
        <w:tc>
          <w:tcPr>
            <w:tcW w:type="dxa" w:w="2695"/>
            <w:vAlign w:val="top"/>
          </w:tcPr>
          <w:p>
            <w:pPr>
              <w:spacing w:after="80" w:before="60" w:line="276" w:lineRule="auto"/>
            </w:pPr>
            <w:r>
              <w:rPr>
                <w:sz w:val="18"/>
              </w:rPr>
              <w:t>企业 SSD、控制器、固件、NVMe-oF与缓存层</w:t>
            </w:r>
          </w:p>
        </w:tc>
        <w:tc>
          <w:tcPr>
            <w:tcW w:type="dxa" w:w="2711"/>
            <w:vAlign w:val="top"/>
          </w:tcPr>
          <w:p>
            <w:pPr>
              <w:spacing w:after="80" w:before="60" w:line="276" w:lineRule="auto"/>
            </w:pPr>
            <w:r>
              <w:rPr>
                <w:sz w:val="18"/>
              </w:rPr>
              <w:t>真实读写混合、P99、写放大、耐久、故障恢复及客户回款</w:t>
            </w:r>
          </w:p>
        </w:tc>
        <w:tc>
          <w:tcPr>
            <w:tcW w:type="dxa" w:w="2991"/>
            <w:vAlign w:val="top"/>
          </w:tcPr>
          <w:p>
            <w:pPr>
              <w:spacing w:after="80" w:before="60" w:line="276" w:lineRule="auto"/>
            </w:pPr>
            <w:r>
              <w:rPr>
                <w:sz w:val="18"/>
              </w:rPr>
              <w:t>数据复用减少需求；介质价格上涨侵蚀毛利；软件绕过性能价值</w:t>
            </w:r>
          </w:p>
        </w:tc>
      </w:tr>
      <w:tr>
        <w:trPr>
          <w:cantSplit/>
        </w:trPr>
        <w:tc>
          <w:tcPr>
            <w:tcW w:type="dxa" w:w="1496"/>
            <w:vAlign w:val="top"/>
          </w:tcPr>
          <w:p>
            <w:pPr>
              <w:spacing w:after="80" w:before="60" w:line="276" w:lineRule="auto"/>
            </w:pPr>
            <w:r>
              <w:rPr>
                <w:sz w:val="18"/>
              </w:rPr>
              <w:t>材料更换和结构升级创造单位工艺价值</w:t>
            </w:r>
          </w:p>
        </w:tc>
        <w:tc>
          <w:tcPr>
            <w:tcW w:type="dxa" w:w="2695"/>
            <w:vAlign w:val="top"/>
          </w:tcPr>
          <w:p>
            <w:pPr>
              <w:spacing w:after="80" w:before="60" w:line="276" w:lineRule="auto"/>
            </w:pPr>
            <w:r>
              <w:rPr>
                <w:sz w:val="18"/>
              </w:rPr>
              <w:t>ALD/刻蚀/CMP、高纯前驱体、膜层/键合材料</w:t>
            </w:r>
          </w:p>
        </w:tc>
        <w:tc>
          <w:tcPr>
            <w:tcW w:type="dxa" w:w="2711"/>
            <w:vAlign w:val="top"/>
          </w:tcPr>
          <w:p>
            <w:pPr>
              <w:spacing w:after="80" w:before="60" w:line="276" w:lineRule="auto"/>
            </w:pPr>
            <w:r>
              <w:rPr>
                <w:sz w:val="18"/>
              </w:rPr>
              <w:t>新材料量产导入、单位用量、认证时间与良率收益</w:t>
            </w:r>
          </w:p>
        </w:tc>
        <w:tc>
          <w:tcPr>
            <w:tcW w:type="dxa" w:w="2991"/>
            <w:vAlign w:val="top"/>
          </w:tcPr>
          <w:p>
            <w:pPr>
              <w:spacing w:after="80" w:before="60" w:line="276" w:lineRule="auto"/>
            </w:pPr>
            <w:r>
              <w:rPr>
                <w:sz w:val="18"/>
              </w:rPr>
              <w:t>材料用量降低；替代化学路线；仅有送样没有采购</w:t>
            </w:r>
          </w:p>
        </w:tc>
      </w:tr>
      <w:tr>
        <w:trPr>
          <w:cantSplit/>
        </w:trPr>
        <w:tc>
          <w:tcPr>
            <w:tcW w:type="dxa" w:w="1496"/>
            <w:vAlign w:val="top"/>
          </w:tcPr>
          <w:p>
            <w:pPr>
              <w:spacing w:after="80" w:before="60" w:line="276" w:lineRule="auto"/>
            </w:pPr>
            <w:r>
              <w:rPr>
                <w:sz w:val="18"/>
              </w:rPr>
              <w:t>定制计算通过减少数据移动改善 TCO</w:t>
            </w:r>
          </w:p>
        </w:tc>
        <w:tc>
          <w:tcPr>
            <w:tcW w:type="dxa" w:w="2695"/>
            <w:vAlign w:val="top"/>
          </w:tcPr>
          <w:p>
            <w:pPr>
              <w:spacing w:after="80" w:before="60" w:line="276" w:lineRule="auto"/>
            </w:pPr>
            <w:r>
              <w:rPr>
                <w:sz w:val="18"/>
              </w:rPr>
              <w:t>TPU/ASIC、SRAM/dataflow/近存计算</w:t>
            </w:r>
          </w:p>
        </w:tc>
        <w:tc>
          <w:tcPr>
            <w:tcW w:type="dxa" w:w="2711"/>
            <w:vAlign w:val="top"/>
          </w:tcPr>
          <w:p>
            <w:pPr>
              <w:spacing w:after="80" w:before="60" w:line="276" w:lineRule="auto"/>
            </w:pPr>
            <w:r>
              <w:rPr>
                <w:sz w:val="18"/>
              </w:rPr>
              <w:t>同模型质量、SLA、墙插功率与软件维护成本</w:t>
            </w:r>
          </w:p>
        </w:tc>
        <w:tc>
          <w:tcPr>
            <w:tcW w:type="dxa" w:w="2991"/>
            <w:vAlign w:val="top"/>
          </w:tcPr>
          <w:p>
            <w:pPr>
              <w:spacing w:after="80" w:before="60" w:line="276" w:lineRule="auto"/>
            </w:pPr>
            <w:r>
              <w:rPr>
                <w:sz w:val="18"/>
              </w:rPr>
              <w:t>模型结构变化；编译覆盖不足；外存和网络成本吞掉收益</w:t>
            </w:r>
          </w:p>
        </w:tc>
      </w:tr>
      <w:tr>
        <w:trPr>
          <w:cantSplit/>
        </w:trPr>
        <w:tc>
          <w:tcPr>
            <w:tcW w:type="dxa" w:w="1496"/>
            <w:vAlign w:val="top"/>
          </w:tcPr>
          <w:p>
            <w:pPr>
              <w:spacing w:after="80" w:before="60" w:line="276" w:lineRule="auto"/>
            </w:pPr>
            <w:r>
              <w:rPr>
                <w:sz w:val="18"/>
              </w:rPr>
              <w:t>互连速率提升增加测试的经济价值</w:t>
            </w:r>
          </w:p>
        </w:tc>
        <w:tc>
          <w:tcPr>
            <w:tcW w:type="dxa" w:w="2695"/>
            <w:vAlign w:val="top"/>
          </w:tcPr>
          <w:p>
            <w:pPr>
              <w:spacing w:after="80" w:before="60" w:line="276" w:lineRule="auto"/>
            </w:pPr>
            <w:r>
              <w:rPr>
                <w:sz w:val="18"/>
              </w:rPr>
              <w:t>BERT、光电晶圆测试、探针、热控与可靠性</w:t>
            </w:r>
          </w:p>
        </w:tc>
        <w:tc>
          <w:tcPr>
            <w:tcW w:type="dxa" w:w="2711"/>
            <w:vAlign w:val="top"/>
          </w:tcPr>
          <w:p>
            <w:pPr>
              <w:spacing w:after="80" w:before="60" w:line="276" w:lineRule="auto"/>
            </w:pPr>
            <w:r>
              <w:rPr>
                <w:sz w:val="18"/>
              </w:rPr>
              <w:t>在可接受误判/漏判下缩短测试时间并提高出货良率</w:t>
            </w:r>
          </w:p>
        </w:tc>
        <w:tc>
          <w:tcPr>
            <w:tcW w:type="dxa" w:w="2991"/>
            <w:vAlign w:val="top"/>
          </w:tcPr>
          <w:p>
            <w:pPr>
              <w:spacing w:after="80" w:before="60" w:line="276" w:lineRule="auto"/>
            </w:pPr>
            <w:r>
              <w:rPr>
                <w:sz w:val="18"/>
              </w:rPr>
              <w:t>测试时间随集成下降；客户合并工位；产品周期短于投入回收期</w:t>
            </w:r>
          </w:p>
        </w:tc>
      </w:tr>
    </w:tbl>
    <w:p>
      <w:pPr>
        <w:spacing w:after="0"/>
      </w:pPr>
    </w:p>
    <w:p>
      <w:pPr/>
      <w:r>
        <w:t>表中为本报告综合推论；支撑工程事实见对应模块。它不证明每家候选都拥有稀缺产能、已进入头部客户或具备估值吸引力。</w:t>
      </w:r>
    </w:p>
    <w:p>
      <w:pPr>
        <w:pStyle w:val="Heading2"/>
      </w:pPr>
      <w:r>
        <w:t>订单怎样变成现金</w:t>
      </w:r>
    </w:p>
    <w:p>
      <w:pPr/>
      <w:r>
        <w:t>研究应将意向/框架协议、确定订单、已交付、客户验收、会计收入、回款分列。长周期设备还应看合同负债、存货与发出商品、应收账款、验收条款、质保及取消风险。不能用订单总额乘毛利率就得到当期利润；跨期订单也不能与单季收入直接比较。Seeking Alpha 公开讨论中对毛利和库存的关注，适合转化成这类逐项核查，不适合直接继承目标价。</w:t>
      </w:r>
      <w:hyperlink r:id="rId15">
        <w:r>
          <w:rPr>
            <w:color w:val="4338CA"/>
          </w:rPr>
          <w:t>[R021]</w:t>
        </w:r>
      </w:hyperlink>
    </w:p>
    <w:p>
      <w:pPr/>
      <w:r>
        <w:t>从设备价格到客户价值，可用</w:t>
      </w:r>
      <w:r>
        <w:rPr>
          <w:b/>
        </w:rPr>
        <w:t>教学模型</w:t>
      </w:r>
      <w:r>
        <w:t>量化：假设每年处理 100 万个组件、单组件投入 100 美元，设备改善后的最终合格率从 90% 到 92%，在其他条件相同且全部新增合格品可售时，多产生 2 万个合格件。是否值得购买还取决于新增毛利、设备折旧、耗材、工程维护、节拍、停机及原有设备替代成本。这里数字是演算假设，不是 ficonTEC 或任一客户实绩。</w:t>
      </w:r>
    </w:p>
    <w:p>
      <w:pPr>
        <w:pStyle w:val="Heading2"/>
      </w:pPr>
      <w:r>
        <w:t>财务与估值所需最小表</w:t>
      </w:r>
    </w:p>
    <w:tbl>
      <w:tblPr>
        <w:tblW w:type="auto" w:w="0"/>
        <w:jc w:val="center"/>
        <w:tblLayout w:type="fixed"/>
        <w:tblLook w:firstColumn="1" w:firstRow="1" w:lastColumn="0" w:lastRow="0" w:noHBand="0" w:noVBand="1" w:val="04A0"/>
      </w:tblPr>
      <w:tblGrid>
        <w:gridCol w:w="1425"/>
        <w:gridCol w:w="4709"/>
        <w:gridCol w:w="3759"/>
      </w:tblGrid>
      <w:tr>
        <w:trPr>
          <w:tblHeader/>
        </w:trPr>
        <w:tc>
          <w:tcPr>
            <w:tcW w:type="dxa" w:w="1425"/>
            <w:vAlign w:val="top"/>
            <w:shd w:fill="E0E7FF"/>
          </w:tcPr>
          <w:p>
            <w:pPr>
              <w:spacing w:after="80" w:before="60" w:line="276" w:lineRule="auto"/>
            </w:pPr>
            <w:r>
              <w:rPr>
                <w:b/>
                <w:sz w:val="18"/>
              </w:rPr>
              <w:t>维度</w:t>
            </w:r>
          </w:p>
        </w:tc>
        <w:tc>
          <w:tcPr>
            <w:tcW w:type="dxa" w:w="4709"/>
            <w:vAlign w:val="top"/>
            <w:shd w:fill="E0E7FF"/>
          </w:tcPr>
          <w:p>
            <w:pPr>
              <w:spacing w:after="80" w:before="60" w:line="276" w:lineRule="auto"/>
            </w:pPr>
            <w:r>
              <w:rPr>
                <w:b/>
                <w:sz w:val="18"/>
              </w:rPr>
              <w:t>应取数据</w:t>
            </w:r>
          </w:p>
        </w:tc>
        <w:tc>
          <w:tcPr>
            <w:tcW w:type="dxa" w:w="3759"/>
            <w:vAlign w:val="top"/>
            <w:shd w:fill="E0E7FF"/>
          </w:tcPr>
          <w:p>
            <w:pPr>
              <w:spacing w:after="80" w:before="60" w:line="276" w:lineRule="auto"/>
            </w:pPr>
            <w:r>
              <w:rPr>
                <w:b/>
                <w:sz w:val="18"/>
              </w:rPr>
              <w:t>必须区分</w:t>
            </w:r>
          </w:p>
        </w:tc>
      </w:tr>
      <w:tr>
        <w:trPr>
          <w:cantSplit/>
        </w:trPr>
        <w:tc>
          <w:tcPr>
            <w:tcW w:type="dxa" w:w="1425"/>
            <w:vAlign w:val="top"/>
          </w:tcPr>
          <w:p>
            <w:pPr>
              <w:spacing w:after="80" w:before="60" w:line="276" w:lineRule="auto"/>
            </w:pPr>
            <w:r>
              <w:rPr>
                <w:sz w:val="18"/>
              </w:rPr>
              <w:t>增长质量</w:t>
            </w:r>
          </w:p>
        </w:tc>
        <w:tc>
          <w:tcPr>
            <w:tcW w:type="dxa" w:w="4709"/>
            <w:vAlign w:val="top"/>
          </w:tcPr>
          <w:p>
            <w:pPr>
              <w:spacing w:after="80" w:before="60" w:line="276" w:lineRule="auto"/>
            </w:pPr>
            <w:r>
              <w:rPr>
                <w:sz w:val="18"/>
              </w:rPr>
              <w:t>分业务收入、客户集中、订单取消、复购、现金转换</w:t>
            </w:r>
          </w:p>
        </w:tc>
        <w:tc>
          <w:tcPr>
            <w:tcW w:type="dxa" w:w="3759"/>
            <w:vAlign w:val="top"/>
          </w:tcPr>
          <w:p>
            <w:pPr>
              <w:spacing w:after="80" w:before="60" w:line="276" w:lineRule="auto"/>
            </w:pPr>
            <w:r>
              <w:rPr>
                <w:sz w:val="18"/>
              </w:rPr>
              <w:t>行业景气与公司份额；出货与验收</w:t>
            </w:r>
          </w:p>
        </w:tc>
      </w:tr>
      <w:tr>
        <w:trPr>
          <w:cantSplit/>
        </w:trPr>
        <w:tc>
          <w:tcPr>
            <w:tcW w:type="dxa" w:w="1425"/>
            <w:vAlign w:val="top"/>
          </w:tcPr>
          <w:p>
            <w:pPr>
              <w:spacing w:after="80" w:before="60" w:line="276" w:lineRule="auto"/>
            </w:pPr>
            <w:r>
              <w:rPr>
                <w:sz w:val="18"/>
              </w:rPr>
              <w:t>盈利能力</w:t>
            </w:r>
          </w:p>
        </w:tc>
        <w:tc>
          <w:tcPr>
            <w:tcW w:type="dxa" w:w="4709"/>
            <w:vAlign w:val="top"/>
          </w:tcPr>
          <w:p>
            <w:pPr>
              <w:spacing w:after="80" w:before="60" w:line="276" w:lineRule="auto"/>
            </w:pPr>
            <w:r>
              <w:rPr>
                <w:sz w:val="18"/>
              </w:rPr>
              <w:t>产品组合、GAAP与调整后毛利、研发、质保、服务占比</w:t>
            </w:r>
          </w:p>
        </w:tc>
        <w:tc>
          <w:tcPr>
            <w:tcW w:type="dxa" w:w="3759"/>
            <w:vAlign w:val="top"/>
          </w:tcPr>
          <w:p>
            <w:pPr>
              <w:spacing w:after="80" w:before="60" w:line="276" w:lineRule="auto"/>
            </w:pPr>
            <w:r>
              <w:rPr>
                <w:sz w:val="18"/>
              </w:rPr>
              <w:t>周期涨价与持久壁垒；并购会计与经营改善</w:t>
            </w:r>
          </w:p>
        </w:tc>
      </w:tr>
      <w:tr>
        <w:trPr>
          <w:cantSplit/>
        </w:trPr>
        <w:tc>
          <w:tcPr>
            <w:tcW w:type="dxa" w:w="1425"/>
            <w:vAlign w:val="top"/>
          </w:tcPr>
          <w:p>
            <w:pPr>
              <w:spacing w:after="80" w:before="60" w:line="276" w:lineRule="auto"/>
            </w:pPr>
            <w:r>
              <w:rPr>
                <w:sz w:val="18"/>
              </w:rPr>
              <w:t>资本强度</w:t>
            </w:r>
          </w:p>
        </w:tc>
        <w:tc>
          <w:tcPr>
            <w:tcW w:type="dxa" w:w="4709"/>
            <w:vAlign w:val="top"/>
          </w:tcPr>
          <w:p>
            <w:pPr>
              <w:spacing w:after="80" w:before="60" w:line="276" w:lineRule="auto"/>
            </w:pPr>
            <w:r>
              <w:rPr>
                <w:sz w:val="18"/>
              </w:rPr>
              <w:t>CapEx、营运资本、产能爬坡、折旧、自由现金流</w:t>
            </w:r>
          </w:p>
        </w:tc>
        <w:tc>
          <w:tcPr>
            <w:tcW w:type="dxa" w:w="3759"/>
            <w:vAlign w:val="top"/>
          </w:tcPr>
          <w:p>
            <w:pPr>
              <w:spacing w:after="80" w:before="60" w:line="276" w:lineRule="auto"/>
            </w:pPr>
            <w:r>
              <w:rPr>
                <w:sz w:val="18"/>
              </w:rPr>
              <w:t>建设支出与维持支出；会计年限与经济寿命</w:t>
            </w:r>
          </w:p>
        </w:tc>
      </w:tr>
      <w:tr>
        <w:trPr>
          <w:cantSplit/>
        </w:trPr>
        <w:tc>
          <w:tcPr>
            <w:tcW w:type="dxa" w:w="1425"/>
            <w:vAlign w:val="top"/>
          </w:tcPr>
          <w:p>
            <w:pPr>
              <w:spacing w:after="80" w:before="60" w:line="276" w:lineRule="auto"/>
            </w:pPr>
            <w:r>
              <w:rPr>
                <w:sz w:val="18"/>
              </w:rPr>
              <w:t>竞争风险</w:t>
            </w:r>
          </w:p>
        </w:tc>
        <w:tc>
          <w:tcPr>
            <w:tcW w:type="dxa" w:w="4709"/>
            <w:vAlign w:val="top"/>
          </w:tcPr>
          <w:p>
            <w:pPr>
              <w:spacing w:after="80" w:before="60" w:line="276" w:lineRule="auto"/>
            </w:pPr>
            <w:r>
              <w:rPr>
                <w:sz w:val="18"/>
              </w:rPr>
              <w:t>同类验证、客户双供、内部替代、架构迁移</w:t>
            </w:r>
          </w:p>
        </w:tc>
        <w:tc>
          <w:tcPr>
            <w:tcW w:type="dxa" w:w="3759"/>
            <w:vAlign w:val="top"/>
          </w:tcPr>
          <w:p>
            <w:pPr>
              <w:spacing w:after="80" w:before="60" w:line="276" w:lineRule="auto"/>
            </w:pPr>
            <w:r>
              <w:rPr>
                <w:sz w:val="18"/>
              </w:rPr>
              <w:t>独家工序与整体独家；产品兼容与实际导入</w:t>
            </w:r>
          </w:p>
        </w:tc>
      </w:tr>
      <w:tr>
        <w:trPr>
          <w:cantSplit/>
        </w:trPr>
        <w:tc>
          <w:tcPr>
            <w:tcW w:type="dxa" w:w="1425"/>
            <w:vAlign w:val="top"/>
          </w:tcPr>
          <w:p>
            <w:pPr>
              <w:spacing w:after="80" w:before="60" w:line="276" w:lineRule="auto"/>
            </w:pPr>
            <w:r>
              <w:rPr>
                <w:sz w:val="18"/>
              </w:rPr>
              <w:t>估值</w:t>
            </w:r>
          </w:p>
        </w:tc>
        <w:tc>
          <w:tcPr>
            <w:tcW w:type="dxa" w:w="4709"/>
            <w:vAlign w:val="top"/>
          </w:tcPr>
          <w:p>
            <w:pPr>
              <w:spacing w:after="80" w:before="60" w:line="276" w:lineRule="auto"/>
            </w:pPr>
            <w:r>
              <w:rPr>
                <w:sz w:val="18"/>
              </w:rPr>
              <w:t>市值、净负债、股权稀释、周期化盈利、情景现金流</w:t>
            </w:r>
          </w:p>
        </w:tc>
        <w:tc>
          <w:tcPr>
            <w:tcW w:type="dxa" w:w="3759"/>
            <w:vAlign w:val="top"/>
          </w:tcPr>
          <w:p>
            <w:pPr>
              <w:spacing w:after="80" w:before="60" w:line="276" w:lineRule="auto"/>
            </w:pPr>
            <w:r>
              <w:rPr>
                <w:sz w:val="18"/>
              </w:rPr>
              <w:t>好公司、增长快与当前价格便宜是三个判断</w:t>
            </w:r>
          </w:p>
        </w:tc>
      </w:tr>
    </w:tbl>
    <w:p>
      <w:pPr>
        <w:spacing w:after="0"/>
      </w:pPr>
    </w:p>
    <w:p>
      <w:pPr/>
      <w:r>
        <w:t xml:space="preserve">本表提供投资分析的核验维度。个股目标价需要经过核实的股价、分部财务和估值模型；产业技术优势不能直接转换为全行业供应商的统一投资排名。</w:t>
      </w:r>
    </w:p>
    <w:p>
      <w:pPr>
        <w:pStyle w:val="Heading2"/>
      </w:pPr>
      <w:r>
        <w:t>组合风险与反向观察</w:t>
      </w:r>
    </w:p>
    <w:p>
      <w:pPr/>
      <w:r>
        <w:t>看起来分散的 GPU、HBM、封装、光模块、电源和机房公司，可能共同依赖同一批 hyperscaler 的资本预算，相关风险并未因持有多个细分板块而消失。应检查需求确认是否来自同一份数据中心计划，避免把上游采购和下游融资重复算作独立终端需求。这是本报告的供应链风险推论。</w:t>
      </w:r>
    </w:p>
    <w:p>
      <w:pPr/>
      <w:r>
        <w:t>更有价值的领先问题包括：新机房真正通电还是仅公布规划；存货增长对应可验收订单还是提前备料；单位系统所需端口/测试工时/材料用量是否变化；终端价格下跌会先伤害谁的毛利；新一代产品是否使旧库存折价。回答这些问题，需要季度更新，不靠一张静态产业图完成。</w:t>
      </w:r>
    </w:p>
    <w:p>
      <w:pPr>
        <w:pStyle w:val="Heading1"/>
        <w:pageBreakBefore/>
      </w:pPr>
      <w:r>
        <w:t>11  社区异议与深入阅读</w:t>
      </w:r>
    </w:p>
    <w:p>
      <w:pPr>
        <w:pStyle w:val="Heading2"/>
      </w:pPr>
      <w:r>
        <w:t>如何筛选论坛评论</w:t>
      </w:r>
    </w:p>
    <w:p>
      <w:pPr/>
      <w:r>
        <w:t>本报告按“机制具体、口径明确、可被独立证据检验、承认边界、回应反证”筛选评论；不把点赞数、自称职业或盈利截图当专业资质。能够把争议转为可测量问题的评论，更适合进入研究框架。匿名用户的客户、业绩、价格和份额主张，未被一手材料确认前仍是未核实陈述。</w:t>
      </w:r>
    </w:p>
    <w:tbl>
      <w:tblPr>
        <w:tblW w:type="auto" w:w="0"/>
        <w:jc w:val="center"/>
        <w:tblLayout w:type="fixed"/>
        <w:tblLook w:firstColumn="1" w:firstRow="1" w:lastColumn="0" w:lastRow="0" w:noHBand="0" w:noVBand="1" w:val="04A0"/>
      </w:tblPr>
      <w:tblGrid>
        <w:gridCol w:w="1338"/>
        <w:gridCol w:w="2675"/>
        <w:gridCol w:w="3121"/>
        <w:gridCol w:w="2759"/>
      </w:tblGrid>
      <w:tr>
        <w:trPr>
          <w:tblHeader/>
        </w:trPr>
        <w:tc>
          <w:tcPr>
            <w:tcW w:type="dxa" w:w="1338"/>
            <w:vAlign w:val="top"/>
            <w:shd w:fill="E0E7FF"/>
          </w:tcPr>
          <w:p>
            <w:pPr>
              <w:spacing w:after="80" w:before="60" w:line="276" w:lineRule="auto"/>
            </w:pPr>
            <w:r>
              <w:rPr>
                <w:b/>
                <w:sz w:val="18"/>
              </w:rPr>
              <w:t>讨论及作者</w:t>
            </w:r>
          </w:p>
        </w:tc>
        <w:tc>
          <w:tcPr>
            <w:tcW w:type="dxa" w:w="2675"/>
            <w:vAlign w:val="top"/>
            <w:shd w:fill="E0E7FF"/>
          </w:tcPr>
          <w:p>
            <w:pPr>
              <w:spacing w:after="80" w:before="60" w:line="276" w:lineRule="auto"/>
            </w:pPr>
            <w:r>
              <w:rPr>
                <w:b/>
                <w:sz w:val="18"/>
              </w:rPr>
              <w:t>值得吸收的内容</w:t>
            </w:r>
          </w:p>
        </w:tc>
        <w:tc>
          <w:tcPr>
            <w:tcW w:type="dxa" w:w="3121"/>
            <w:vAlign w:val="top"/>
            <w:shd w:fill="E0E7FF"/>
          </w:tcPr>
          <w:p>
            <w:pPr>
              <w:spacing w:after="80" w:before="60" w:line="276" w:lineRule="auto"/>
            </w:pPr>
            <w:r>
              <w:rPr>
                <w:b/>
                <w:sz w:val="18"/>
              </w:rPr>
              <w:t xml:space="preserve">可检验的产业问题</w:t>
            </w:r>
          </w:p>
        </w:tc>
        <w:tc>
          <w:tcPr>
            <w:tcW w:type="dxa" w:w="2759"/>
            <w:vAlign w:val="top"/>
            <w:shd w:fill="E0E7FF"/>
          </w:tcPr>
          <w:p>
            <w:pPr>
              <w:spacing w:after="80" w:before="60" w:line="276" w:lineRule="auto"/>
            </w:pPr>
            <w:r>
              <w:rPr>
                <w:b/>
                <w:sz w:val="18"/>
              </w:rPr>
              <w:t>不采纳的部分</w:t>
            </w:r>
          </w:p>
        </w:tc>
      </w:tr>
      <w:tr>
        <w:trPr>
          <w:cantSplit/>
        </w:trPr>
        <w:tc>
          <w:tcPr>
            <w:tcW w:type="dxa" w:w="1338"/>
            <w:vAlign w:val="top"/>
          </w:tcPr>
          <w:p>
            <w:pPr>
              <w:spacing w:after="80" w:before="60" w:line="276" w:lineRule="auto"/>
            </w:pPr>
            <w:r>
              <w:rPr>
                <w:sz w:val="18"/>
              </w:rPr>
              <w:t>r/ValueInvesting，Educational-Play-465，2026-08 讨论</w:t>
            </w:r>
          </w:p>
        </w:tc>
        <w:tc>
          <w:tcPr>
            <w:tcW w:type="dxa" w:w="2675"/>
            <w:vAlign w:val="top"/>
          </w:tcPr>
          <w:p>
            <w:pPr>
              <w:spacing w:after="80" w:before="60" w:line="276" w:lineRule="auto"/>
            </w:pPr>
            <w:r>
              <w:rPr>
                <w:sz w:val="18"/>
              </w:rPr>
              <w:t>将维持现有产能的支出与新增产能支出分开，再检验现金回报</w:t>
            </w:r>
          </w:p>
        </w:tc>
        <w:tc>
          <w:tcPr>
            <w:tcW w:type="dxa" w:w="3121"/>
            <w:vAlign w:val="top"/>
          </w:tcPr>
          <w:p>
            <w:pPr>
              <w:spacing w:after="80" w:before="60" w:line="276" w:lineRule="auto"/>
            </w:pPr>
            <w:r>
              <w:rPr>
                <w:sz w:val="18"/>
              </w:rPr>
              <w:t>在财务模型中分拆 sustaining/growth CapEx；会计折旧年限与经济回收分别建情景。</w:t>
            </w:r>
            <w:hyperlink r:id="rId319">
              <w:r>
                <w:rPr>
                  <w:color w:val="4338CA"/>
                </w:rPr>
                <w:t>[R029]</w:t>
              </w:r>
            </w:hyperlink>
          </w:p>
        </w:tc>
        <w:tc>
          <w:tcPr>
            <w:tcW w:type="dxa" w:w="2759"/>
            <w:vAlign w:val="top"/>
          </w:tcPr>
          <w:p>
            <w:pPr>
              <w:spacing w:after="80" w:before="60" w:line="276" w:lineRule="auto"/>
            </w:pPr>
            <w:r>
              <w:rPr>
                <w:sz w:val="18"/>
              </w:rPr>
              <w:t>线程内对所有GPU统一寿命或残值的断言；没有统一可验证实据</w:t>
            </w:r>
          </w:p>
        </w:tc>
      </w:tr>
      <w:tr>
        <w:trPr>
          <w:cantSplit/>
        </w:trPr>
        <w:tc>
          <w:tcPr>
            <w:tcW w:type="dxa" w:w="1338"/>
            <w:vAlign w:val="top"/>
          </w:tcPr>
          <w:p>
            <w:pPr>
              <w:spacing w:after="80" w:before="60" w:line="276" w:lineRule="auto"/>
            </w:pPr>
            <w:r>
              <w:rPr>
                <w:sz w:val="18"/>
              </w:rPr>
              <w:t>r/chipdesign，saw235，2026-10 讨论</w:t>
            </w:r>
          </w:p>
        </w:tc>
        <w:tc>
          <w:tcPr>
            <w:tcW w:type="dxa" w:w="2675"/>
            <w:vAlign w:val="top"/>
          </w:tcPr>
          <w:p>
            <w:pPr>
              <w:spacing w:after="80" w:before="60" w:line="276" w:lineRule="auto"/>
            </w:pPr>
            <w:r>
              <w:rPr>
                <w:sz w:val="18"/>
              </w:rPr>
              <w:t>具体提到波形 debug 和报告生成，提供了 AI EDA 可测试的工作环节</w:t>
            </w:r>
          </w:p>
        </w:tc>
        <w:tc>
          <w:tcPr>
            <w:tcW w:type="dxa" w:w="3121"/>
            <w:vAlign w:val="top"/>
          </w:tcPr>
          <w:p>
            <w:pPr>
              <w:spacing w:after="80" w:before="60" w:line="276" w:lineRule="auto"/>
            </w:pPr>
            <w:r>
              <w:rPr>
                <w:sz w:val="18"/>
              </w:rPr>
              <w:t>现场询问覆盖率、误报/漏报、人工复核和最终 signoff；该体验只代表匿名个人自述。</w:t>
            </w:r>
            <w:hyperlink r:id="rId320">
              <w:r>
                <w:rPr>
                  <w:color w:val="4338CA"/>
                </w:rPr>
                <w:t>[R030]</w:t>
              </w:r>
            </w:hyperlink>
          </w:p>
        </w:tc>
        <w:tc>
          <w:tcPr>
            <w:tcW w:type="dxa" w:w="2759"/>
            <w:vAlign w:val="top"/>
          </w:tcPr>
          <w:p>
            <w:pPr>
              <w:spacing w:after="80" w:before="60" w:line="276" w:lineRule="auto"/>
            </w:pPr>
            <w:r>
              <w:rPr>
                <w:sz w:val="18"/>
              </w:rPr>
              <w:t>“结论很少错”未给样本数/对照/设计复杂度，不推为行业成功率</w:t>
            </w:r>
          </w:p>
        </w:tc>
      </w:tr>
      <w:tr>
        <w:trPr>
          <w:cantSplit/>
        </w:trPr>
        <w:tc>
          <w:tcPr>
            <w:tcW w:type="dxa" w:w="1338"/>
            <w:vAlign w:val="top"/>
          </w:tcPr>
          <w:p>
            <w:pPr>
              <w:spacing w:after="80" w:before="60" w:line="276" w:lineRule="auto"/>
            </w:pPr>
            <w:r>
              <w:rPr>
                <w:sz w:val="18"/>
              </w:rPr>
              <w:t>r/LocalLLaMA，2024 Sohu 发布讨论</w:t>
            </w:r>
          </w:p>
        </w:tc>
        <w:tc>
          <w:tcPr>
            <w:tcW w:type="dxa" w:w="2675"/>
            <w:vAlign w:val="top"/>
          </w:tcPr>
          <w:p>
            <w:pPr>
              <w:spacing w:after="80" w:before="60" w:line="276" w:lineRule="auto"/>
            </w:pPr>
            <w:r>
              <w:rPr>
                <w:sz w:val="18"/>
              </w:rPr>
              <w:t>对架构专用化、模型未来变化、基准精度提出不同意见</w:t>
            </w:r>
          </w:p>
        </w:tc>
        <w:tc>
          <w:tcPr>
            <w:tcW w:type="dxa" w:w="3121"/>
            <w:vAlign w:val="top"/>
          </w:tcPr>
          <w:p>
            <w:pPr>
              <w:spacing w:after="80" w:before="60" w:line="276" w:lineRule="auto"/>
            </w:pPr>
            <w:r>
              <w:rPr>
                <w:sz w:val="18"/>
              </w:rPr>
              <w:t>以当前官方产品资料重设比较边界，追问模型集合与迁移成本。</w:t>
            </w:r>
            <w:hyperlink r:id="rId321">
              <w:r>
                <w:rPr>
                  <w:color w:val="4338CA"/>
                </w:rPr>
                <w:t>[R031]</w:t>
              </w:r>
            </w:hyperlink>
            <w:hyperlink r:id="rId294">
              <w:r>
                <w:rPr>
                  <w:color w:val="4338CA"/>
                </w:rPr>
                <w:t>[R010]</w:t>
              </w:r>
            </w:hyperlink>
          </w:p>
        </w:tc>
        <w:tc>
          <w:tcPr>
            <w:tcW w:type="dxa" w:w="2759"/>
            <w:vAlign w:val="top"/>
          </w:tcPr>
          <w:p>
            <w:pPr>
              <w:spacing w:after="80" w:before="60" w:line="276" w:lineRule="auto"/>
            </w:pPr>
            <w:r>
              <w:rPr>
                <w:sz w:val="18"/>
              </w:rPr>
              <w:t>老宣传的最高倍数及一台机器替换多少GPU，不作为2026实际部署数据</w:t>
            </w:r>
          </w:p>
        </w:tc>
      </w:tr>
    </w:tbl>
    <w:p>
      <w:pPr>
        <w:spacing w:after="0"/>
      </w:pPr>
    </w:p>
    <w:p>
      <w:pPr/>
      <w:r>
        <w:t>以上是</w:t>
      </w:r>
      <w:r>
        <w:rPr>
          <w:b/>
        </w:rPr>
        <w:t>对研究有用的评论</w:t>
      </w:r>
      <w:r>
        <w:t>，不是已证实的高资历专家判断。技术区可优先跟踪 chipdesign、FPGA、networking、sysadmin、LocalLLaMA、Semiconductors；投资区可看 ValueInvesting、stocks 和相关公司讨论区。每次仍须按上述规则逐条筛选，单一社区往往具有职业或持仓选择偏差。</w:t>
      </w:r>
    </w:p>
    <w:p>
      <w:pPr>
        <w:pStyle w:val="Heading2"/>
      </w:pPr>
      <w:r>
        <w:t>研究机构的方法借鉴</w:t>
      </w:r>
    </w:p>
    <w:p>
      <w:pPr/>
      <w:r>
        <w:t xml:space="preserve">SemiAnalysis 的公开产品说明把 AI TCO、网络和数据中心容量模型分开，再以配置、连接比例、功率、建设进度和财务回报联系。相关分层方法适合检验配置、物理约束与经济回报的联系。本文算例与分类不代表该机构的付费容量、客户份额或价格模型。</w:t>
      </w:r>
      <w:hyperlink r:id="rId14">
        <w:r>
          <w:rPr>
            <w:color w:val="4338CA"/>
          </w:rPr>
          <w:t>[R020]</w:t>
        </w:r>
      </w:hyperlink>
    </w:p>
    <w:p>
      <w:pPr/>
      <w:r>
        <w:t>Seeking Alpha 的公开 podcast 文稿把行业主题带回毛利、存货、订单和 ROI。这提供了技术观察到财务验证的桥梁；作者的荐股、估值与宏观判断仍是观点。本文只吸收问题结构，不采纳其特定收益预期。</w:t>
      </w:r>
      <w:hyperlink r:id="rId15">
        <w:r>
          <w:rPr>
            <w:color w:val="4338CA"/>
          </w:rPr>
          <w:t>[R021]</w:t>
        </w:r>
      </w:hyperlink>
    </w:p>
    <w:p>
      <w:pPr>
        <w:pStyle w:val="Heading2"/>
      </w:pPr>
      <w:r>
        <w:t>带着问题看的视频与播客</w:t>
      </w:r>
    </w:p>
    <w:tbl>
      <w:tblPr>
        <w:tblW w:type="auto" w:w="0"/>
        <w:jc w:val="center"/>
        <w:tblLayout w:type="fixed"/>
        <w:tblLook w:firstColumn="1" w:firstRow="1" w:lastColumn="0" w:lastRow="0" w:noHBand="0" w:noVBand="1" w:val="04A0"/>
      </w:tblPr>
      <w:tblGrid>
        <w:gridCol w:w="1746"/>
        <w:gridCol w:w="4074"/>
        <w:gridCol w:w="4074"/>
      </w:tblGrid>
      <w:tr>
        <w:trPr>
          <w:tblHeader/>
        </w:trPr>
        <w:tc>
          <w:tcPr>
            <w:tcW w:type="dxa" w:w="1746"/>
            <w:vAlign w:val="top"/>
            <w:shd w:fill="E0E7FF"/>
          </w:tcPr>
          <w:p>
            <w:pPr>
              <w:spacing w:after="80" w:before="60" w:line="276" w:lineRule="auto"/>
            </w:pPr>
            <w:r>
              <w:rPr>
                <w:b/>
                <w:sz w:val="18"/>
              </w:rPr>
              <w:t>资源</w:t>
            </w:r>
          </w:p>
        </w:tc>
        <w:tc>
          <w:tcPr>
            <w:tcW w:type="dxa" w:w="4074"/>
            <w:vAlign w:val="top"/>
            <w:shd w:fill="E0E7FF"/>
          </w:tcPr>
          <w:p>
            <w:pPr>
              <w:spacing w:after="80" w:before="60" w:line="276" w:lineRule="auto"/>
            </w:pPr>
            <w:r>
              <w:rPr>
                <w:b/>
                <w:sz w:val="18"/>
              </w:rPr>
              <w:t>对应章节与建议片段</w:t>
            </w:r>
          </w:p>
        </w:tc>
        <w:tc>
          <w:tcPr>
            <w:tcW w:type="dxa" w:w="4074"/>
            <w:vAlign w:val="top"/>
            <w:shd w:fill="E0E7FF"/>
          </w:tcPr>
          <w:p>
            <w:pPr>
              <w:spacing w:after="80" w:before="60" w:line="276" w:lineRule="auto"/>
            </w:pPr>
            <w:r>
              <w:rPr>
                <w:b/>
                <w:sz w:val="18"/>
              </w:rPr>
              <w:t xml:space="preserve">资料用途与证据范围</w:t>
            </w:r>
          </w:p>
        </w:tc>
      </w:tr>
      <w:tr>
        <w:trPr>
          <w:cantSplit/>
        </w:trPr>
        <w:tc>
          <w:tcPr>
            <w:tcW w:type="dxa" w:w="1746"/>
            <w:vAlign w:val="top"/>
          </w:tcPr>
          <w:p>
            <w:pPr>
              <w:spacing w:after="80" w:before="60" w:line="276" w:lineRule="auto"/>
            </w:pPr>
            <w:r>
              <w:rPr>
                <w:sz w:val="18"/>
              </w:rPr>
              <w:t>Dwarkesh Podcast，Asianometry 与 Dylan Patel，2024-10-02</w:t>
            </w:r>
          </w:p>
        </w:tc>
        <w:tc>
          <w:tcPr>
            <w:tcW w:type="dxa" w:w="4074"/>
            <w:vAlign w:val="top"/>
          </w:tcPr>
          <w:p>
            <w:pPr>
              <w:spacing w:after="80" w:before="60" w:line="276" w:lineRule="auto"/>
            </w:pPr>
            <w:r>
              <w:rPr>
                <w:sz w:val="18"/>
              </w:rPr>
              <w:t>38:51 产业分层；49:21 制造复杂度；59:13 架构；1:16:24 成本与电力；2:06:10 产业机会</w:t>
            </w:r>
          </w:p>
        </w:tc>
        <w:tc>
          <w:tcPr>
            <w:tcW w:type="dxa" w:w="4074"/>
            <w:vAlign w:val="top"/>
          </w:tcPr>
          <w:p>
            <w:pPr>
              <w:spacing w:after="80" w:before="60" w:line="276" w:lineRule="auto"/>
            </w:pPr>
            <w:r>
              <w:rPr>
                <w:sz w:val="18"/>
              </w:rPr>
              <w:t xml:space="preserve">产业分层与制造经济性的延伸阅读；历史产业数据不作为2026事实。</w:t>
            </w:r>
            <w:hyperlink r:id="rId322">
              <w:r>
                <w:rPr>
                  <w:color w:val="4338CA"/>
                </w:rPr>
                <w:t>[R042]</w:t>
              </w:r>
            </w:hyperlink>
          </w:p>
        </w:tc>
      </w:tr>
      <w:tr>
        <w:trPr>
          <w:cantSplit/>
        </w:trPr>
        <w:tc>
          <w:tcPr>
            <w:tcW w:type="dxa" w:w="1746"/>
            <w:vAlign w:val="top"/>
          </w:tcPr>
          <w:p>
            <w:pPr>
              <w:spacing w:after="80" w:before="60" w:line="276" w:lineRule="auto"/>
            </w:pPr>
            <w:r>
              <w:rPr>
                <w:sz w:val="18"/>
              </w:rPr>
              <w:t>Branch Education 的 SSD/NAND 系列</w:t>
            </w:r>
          </w:p>
        </w:tc>
        <w:tc>
          <w:tcPr>
            <w:tcW w:type="dxa" w:w="4074"/>
            <w:vAlign w:val="top"/>
          </w:tcPr>
          <w:p>
            <w:pPr>
              <w:spacing w:after="80" w:before="60" w:line="276" w:lineRule="auto"/>
            </w:pPr>
            <w:r>
              <w:rPr>
                <w:sz w:val="18"/>
              </w:rPr>
              <w:t>用 3D 结构理解 cell、string、page 与控制栅，再回读本报告 NAND 工艺</w:t>
            </w:r>
          </w:p>
        </w:tc>
        <w:tc>
          <w:tcPr>
            <w:tcW w:type="dxa" w:w="4074"/>
            <w:vAlign w:val="top"/>
          </w:tcPr>
          <w:p>
            <w:pPr>
              <w:spacing w:after="80" w:before="60" w:line="276" w:lineRule="auto"/>
            </w:pPr>
            <w:r>
              <w:rPr>
                <w:sz w:val="18"/>
              </w:rPr>
              <w:t xml:space="preserve">结构学习的延伸阅读；具体器件与工艺结论以本报告引用的一手资料为准。</w:t>
            </w:r>
            <w:hyperlink r:id="rId323">
              <w:r>
                <w:rPr>
                  <w:color w:val="4338CA"/>
                </w:rPr>
                <w:t>[R043]</w:t>
              </w:r>
            </w:hyperlink>
            <w:hyperlink r:id="rId324">
              <w:r>
                <w:rPr>
                  <w:color w:val="4338CA"/>
                </w:rPr>
                <w:t>[R044]</w:t>
              </w:r>
            </w:hyperlink>
          </w:p>
        </w:tc>
      </w:tr>
      <w:tr>
        <w:trPr>
          <w:cantSplit/>
        </w:trPr>
        <w:tc>
          <w:tcPr>
            <w:tcW w:type="dxa" w:w="1746"/>
            <w:vAlign w:val="top"/>
          </w:tcPr>
          <w:p>
            <w:pPr>
              <w:spacing w:after="80" w:before="60" w:line="276" w:lineRule="auto"/>
            </w:pPr>
            <w:r>
              <w:rPr>
                <w:sz w:val="18"/>
              </w:rPr>
              <w:t>Google Cloud Introducing 7th Generation TPUs Ironwood</w:t>
            </w:r>
          </w:p>
        </w:tc>
        <w:tc>
          <w:tcPr>
            <w:tcW w:type="dxa" w:w="4074"/>
            <w:vAlign w:val="top"/>
          </w:tcPr>
          <w:p>
            <w:pPr>
              <w:spacing w:after="80" w:before="60" w:line="276" w:lineRule="auto"/>
            </w:pPr>
            <w:r>
              <w:rPr>
                <w:sz w:val="18"/>
              </w:rPr>
              <w:t>将芯片、pod、ICI 与数据中心网络的层级对应起来</w:t>
            </w:r>
          </w:p>
        </w:tc>
        <w:tc>
          <w:tcPr>
            <w:tcW w:type="dxa" w:w="4074"/>
            <w:vAlign w:val="top"/>
          </w:tcPr>
          <w:p>
            <w:pPr>
              <w:spacing w:after="80" w:before="60" w:line="276" w:lineRule="auto"/>
            </w:pPr>
            <w:r>
              <w:rPr>
                <w:sz w:val="18"/>
              </w:rPr>
              <w:t>官方视频作为入门补充，数值以当前 TPU7x 规范为准。</w:t>
            </w:r>
            <w:hyperlink r:id="rId325">
              <w:r>
                <w:rPr>
                  <w:color w:val="4338CA"/>
                </w:rPr>
                <w:t>[R045]</w:t>
              </w:r>
            </w:hyperlink>
            <w:hyperlink r:id="rId43">
              <w:r>
                <w:rPr>
                  <w:color w:val="4338CA"/>
                </w:rPr>
                <w:t>[R006]</w:t>
              </w:r>
            </w:hyperlink>
          </w:p>
        </w:tc>
      </w:tr>
      <w:tr>
        <w:trPr>
          <w:cantSplit/>
        </w:trPr>
        <w:tc>
          <w:tcPr>
            <w:tcW w:type="dxa" w:w="1746"/>
            <w:vAlign w:val="top"/>
          </w:tcPr>
          <w:p>
            <w:pPr>
              <w:spacing w:after="80" w:before="60" w:line="276" w:lineRule="auto"/>
            </w:pPr>
            <w:r>
              <w:rPr>
                <w:sz w:val="18"/>
              </w:rPr>
              <w:t>SiMa.ai、d-Matrix、SambaNova 官方技术材料</w:t>
            </w:r>
          </w:p>
        </w:tc>
        <w:tc>
          <w:tcPr>
            <w:tcW w:type="dxa" w:w="4074"/>
            <w:vAlign w:val="top"/>
          </w:tcPr>
          <w:p>
            <w:pPr>
              <w:spacing w:after="80" w:before="60" w:line="276" w:lineRule="auto"/>
            </w:pPr>
            <w:r>
              <w:rPr>
                <w:sz w:val="18"/>
              </w:rPr>
              <w:t>观察 edge pipeline、存内计算、dataflow 如何具体改变数据移动</w:t>
            </w:r>
          </w:p>
        </w:tc>
        <w:tc>
          <w:tcPr>
            <w:tcW w:type="dxa" w:w="4074"/>
            <w:vAlign w:val="top"/>
          </w:tcPr>
          <w:p>
            <w:pPr>
              <w:spacing w:after="80" w:before="60" w:line="276" w:lineRule="auto"/>
            </w:pPr>
            <w:r>
              <w:rPr>
                <w:sz w:val="18"/>
              </w:rPr>
              <w:t>以文字技术资料与论文作为主证据；演示中的收益必须复核测试条件。</w:t>
            </w:r>
            <w:hyperlink r:id="rId292">
              <w:r>
                <w:rPr>
                  <w:color w:val="4338CA"/>
                </w:rPr>
                <w:t>[R008]</w:t>
              </w:r>
            </w:hyperlink>
            <w:hyperlink r:id="rId293">
              <w:r>
                <w:rPr>
                  <w:color w:val="4338CA"/>
                </w:rPr>
                <w:t>[R009]</w:t>
              </w:r>
            </w:hyperlink>
            <w:hyperlink r:id="rId296">
              <w:r>
                <w:rPr>
                  <w:color w:val="4338CA"/>
                </w:rPr>
                <w:t>[R023]</w:t>
              </w:r>
            </w:hyperlink>
          </w:p>
        </w:tc>
      </w:tr>
    </w:tbl>
    <w:p>
      <w:pPr>
        <w:spacing w:after="0"/>
      </w:pPr>
    </w:p>
    <w:p>
      <w:pPr/>
      <w:r>
        <w:t>TED 风格讲座适合建立直觉，设备、材料和量产壁垒更适合读技术论文、标准、产品手册和制造商技术分享。本报告因此以这些原始资料建立论据，而把视频作为有明确学习目标的补充。</w:t>
      </w:r>
    </w:p>
    <w:p>
      <w:pPr>
        <w:pStyle w:val="Heading2"/>
      </w:pPr>
      <w:r>
        <w:t>现场记录应留下的证据</w:t>
      </w:r>
    </w:p>
    <w:p>
      <w:pPr/>
      <w:r>
        <w:t>每次交流至少记下产品型号、阶段、工作负载、测试条件、客户验收指标和可公开资料链接。对不能公开的客户名称，记录其不公开的边界，不用猜测补全。会后将“某人说”“官方资料写”“自己推导”分别归档，再更新相应模块与来源编号，产业图才有持续研究价值。</w:t>
      </w:r>
    </w:p>
    <w:p>
      <w:pPr>
        <w:pStyle w:val="Heading1"/>
        <w:pageBreakBefore/>
      </w:pPr>
      <w:r>
        <w:t>来源附录</w:t>
      </w:r>
    </w:p>
    <w:p>
      <w:r>
        <w:t xml:space="preserve">编号对应正文引用。资料检索日期为2026-10-15；未列发布日期的资料，其日期尚未确认。read表示引用依据来自来源正文，search-excerpt表示证据仅限摘要。证据范围针对具体论据，不代表整份资料的全面审计。</w:t>
      </w:r>
    </w:p>
    <w:p>
      <w:pPr>
        <w:keepNext/>
      </w:pPr>
      <w:r>
        <w:rPr>
          <w:b/>
        </w:rPr>
        <w:t xml:space="preserve">[F001] </w:t>
      </w:r>
      <w:hyperlink r:id="rId202">
        <w:r>
          <w:rPr>
            <w:color w:val="4338CA"/>
          </w:rPr>
          <w:t>Tokyo Electron semiconductor production process products</w:t>
        </w:r>
      </w:hyperlink>
    </w:p>
    <w:p>
      <w:pPr>
        <w:keepNext/>
      </w:pPr>
      <w:r>
        <w:rPr>
          <w:sz w:val="16"/>
        </w:rPr>
        <w:t>Tokyo Electron | 发布 未确认 | 检索 2026-10-15 | official | read</w:t>
      </w:r>
    </w:p>
    <w:p>
      <w:pPr>
        <w:keepNext/>
      </w:pPr>
      <w:r>
        <w:t>证据范围 Deposition lithography etch cleaning wafer prober flow</w:t>
      </w:r>
    </w:p>
    <w:p>
      <w:r>
        <w:t>用于 晶圆制造：把电路图变成三维器件；设备公司地图：按工艺能力定位；先进封装与电测试：系统性能的另一半</w:t>
      </w:r>
    </w:p>
    <w:p>
      <w:pPr>
        <w:keepNext/>
      </w:pPr>
      <w:r>
        <w:rPr>
          <w:b/>
        </w:rPr>
        <w:t xml:space="preserve">[F002] </w:t>
      </w:r>
      <w:hyperlink r:id="rId203">
        <w:r>
          <w:rPr>
            <w:color w:val="4338CA"/>
          </w:rPr>
          <w:t>Semiconductor manufacturing products</w:t>
        </w:r>
      </w:hyperlink>
    </w:p>
    <w:p>
      <w:pPr>
        <w:keepNext/>
      </w:pPr>
      <w:r>
        <w:rPr>
          <w:sz w:val="16"/>
        </w:rPr>
        <w:t>Applied Materials | 发布 未确认 | 检索 2026-10-15 | official | read</w:t>
      </w:r>
    </w:p>
    <w:p>
      <w:pPr>
        <w:keepNext/>
      </w:pPr>
      <w:r>
        <w:t>证据范围 Deposition removal implant thermal analysis integration product categories</w:t>
      </w:r>
    </w:p>
    <w:p>
      <w:r>
        <w:t>用于 晶圆制造：把电路图变成三维器件；设备公司地图：按工艺能力定位</w:t>
      </w:r>
    </w:p>
    <w:p>
      <w:pPr>
        <w:keepNext/>
      </w:pPr>
      <w:r>
        <w:rPr>
          <w:b/>
        </w:rPr>
        <w:t xml:space="preserve">[F003] </w:t>
      </w:r>
      <w:hyperlink r:id="rId208">
        <w:r>
          <w:rPr>
            <w:color w:val="4338CA"/>
          </w:rPr>
          <w:t>Light and lasers lithography principles</w:t>
        </w:r>
      </w:hyperlink>
    </w:p>
    <w:p>
      <w:pPr>
        <w:keepNext/>
      </w:pPr>
      <w:r>
        <w:rPr>
          <w:sz w:val="16"/>
        </w:rPr>
        <w:t>ASML | 发布 未确认 | 检索 2026-10-15 | official | read</w:t>
      </w:r>
    </w:p>
    <w:p>
      <w:pPr>
        <w:keepNext/>
      </w:pPr>
      <w:r>
        <w:t>证据范围 KrF ArF EUV wavelengths and tin droplet plasma</w:t>
      </w:r>
    </w:p>
    <w:p>
      <w:r>
        <w:t>用于 晶圆制造：把电路图变成三维器件；设备公司地图：按工艺能力定位</w:t>
      </w:r>
    </w:p>
    <w:p>
      <w:pPr>
        <w:keepNext/>
      </w:pPr>
      <w:r>
        <w:rPr>
          <w:b/>
        </w:rPr>
        <w:t xml:space="preserve">[F004] </w:t>
      </w:r>
      <w:hyperlink r:id="rId215">
        <w:r>
          <w:rPr>
            <w:color w:val="4338CA"/>
          </w:rPr>
          <w:t>Backside Power</w:t>
        </w:r>
      </w:hyperlink>
    </w:p>
    <w:p>
      <w:pPr>
        <w:keepNext/>
      </w:pPr>
      <w:r>
        <w:rPr>
          <w:sz w:val="16"/>
        </w:rPr>
        <w:t>Applied Materials | 发布 未确认 | 检索 2026-10-15 | official | read</w:t>
      </w:r>
    </w:p>
    <w:p>
      <w:pPr>
        <w:keepNext/>
      </w:pPr>
      <w:r>
        <w:t>证据范围 Backside routing definition process requirements; historical all-frontside statement excluded</w:t>
      </w:r>
    </w:p>
    <w:p>
      <w:r>
        <w:t>用于 晶圆制造：把电路图变成三维器件</w:t>
      </w:r>
    </w:p>
    <w:p>
      <w:pPr>
        <w:keepNext/>
      </w:pPr>
      <w:r>
        <w:rPr>
          <w:b/>
        </w:rPr>
        <w:t xml:space="preserve">[F005] </w:t>
      </w:r>
      <w:hyperlink r:id="rId53">
        <w:r>
          <w:rPr>
            <w:color w:val="4338CA"/>
          </w:rPr>
          <w:t>Atomic Layer Deposition</w:t>
        </w:r>
      </w:hyperlink>
    </w:p>
    <w:p>
      <w:pPr>
        <w:keepNext/>
      </w:pPr>
      <w:r>
        <w:rPr>
          <w:sz w:val="16"/>
        </w:rPr>
        <w:t>ASM | 发布 未确认 | 检索 2026-10-15 | official | read</w:t>
      </w:r>
    </w:p>
    <w:p>
      <w:pPr>
        <w:keepNext/>
      </w:pPr>
      <w:r>
        <w:t>证据范围 Surface controlled conformal film deposition high-k metal gate products</w:t>
      </w:r>
    </w:p>
    <w:p>
      <w:r>
        <w:t>用于 晶圆制造：把电路图变成三维器件；设备公司地图：按工艺能力定位；材料地图：同样叫“绝缘”，实际承担不同任务；材料公司分布与投资验证</w:t>
      </w:r>
    </w:p>
    <w:p>
      <w:pPr>
        <w:keepNext/>
      </w:pPr>
      <w:r>
        <w:rPr>
          <w:b/>
        </w:rPr>
        <w:t xml:space="preserve">[F006] </w:t>
      </w:r>
      <w:hyperlink r:id="rId204">
        <w:r>
          <w:rPr>
            <w:color w:val="4338CA"/>
          </w:rPr>
          <w:t>Epitaxy</w:t>
        </w:r>
      </w:hyperlink>
    </w:p>
    <w:p>
      <w:pPr>
        <w:keepNext/>
      </w:pPr>
      <w:r>
        <w:rPr>
          <w:sz w:val="16"/>
        </w:rPr>
        <w:t>ASM | 发布 未确认 | 检索 2026-10-15 | official | read</w:t>
      </w:r>
    </w:p>
    <w:p>
      <w:pPr>
        <w:keepNext/>
      </w:pPr>
      <w:r>
        <w:t>证据范围 Si SiGe SiP growth strain selective epitaxy</w:t>
      </w:r>
    </w:p>
    <w:p>
      <w:r>
        <w:t>用于 晶圆制造：把电路图变成三维器件；设备公司地图：按工艺能力定位</w:t>
      </w:r>
    </w:p>
    <w:p>
      <w:pPr>
        <w:keepNext/>
      </w:pPr>
      <w:r>
        <w:rPr>
          <w:b/>
        </w:rPr>
        <w:t xml:space="preserve">[F007] </w:t>
      </w:r>
      <w:hyperlink r:id="rId50">
        <w:r>
          <w:rPr>
            <w:color w:val="4338CA"/>
          </w:rPr>
          <w:t>Cryogenic Etching</w:t>
        </w:r>
      </w:hyperlink>
    </w:p>
    <w:p>
      <w:pPr>
        <w:keepNext/>
      </w:pPr>
      <w:r>
        <w:rPr>
          <w:sz w:val="16"/>
        </w:rPr>
        <w:t>Lam Research | 发布 未确认 | 检索 2026-10-15 | official | read</w:t>
      </w:r>
    </w:p>
    <w:p>
      <w:pPr>
        <w:keepNext/>
      </w:pPr>
      <w:r>
        <w:t>证据范围 3D NAND deep holes oxide nitride stacks metallization wafer stress and Cryo target</w:t>
      </w:r>
    </w:p>
    <w:p>
      <w:r>
        <w:t>用于 晶圆制造：把电路图变成三维器件；设备公司地图：按工艺能力定位；材料地图：同样叫“绝缘”，实际承担不同任务；材料公司分布与投资验证</w:t>
      </w:r>
    </w:p>
    <w:p>
      <w:pPr>
        <w:keepNext/>
      </w:pPr>
      <w:r>
        <w:rPr>
          <w:b/>
        </w:rPr>
        <w:t xml:space="preserve">[F008] </w:t>
      </w:r>
      <w:hyperlink r:id="rId214">
        <w:r>
          <w:rPr>
            <w:color w:val="4338CA"/>
          </w:rPr>
          <w:t>2025 annual report semiconductor process control</w:t>
        </w:r>
      </w:hyperlink>
    </w:p>
    <w:p>
      <w:pPr>
        <w:keepNext/>
      </w:pPr>
      <w:r>
        <w:rPr>
          <w:sz w:val="16"/>
        </w:rPr>
        <w:t>KLA | 发布 未确认 | 检索 2026-10-15 | official | search-excerpt</w:t>
      </w:r>
    </w:p>
    <w:p>
      <w:pPr>
        <w:keepNext/>
      </w:pPr>
      <w:r>
        <w:t>证据范围 Wafer reticle packaging chemical inspection metrology and yield control</w:t>
      </w:r>
    </w:p>
    <w:p>
      <w:r>
        <w:t>用于 晶圆制造：把电路图变成三维器件；设备公司地图：按工艺能力定位</w:t>
      </w:r>
    </w:p>
    <w:p>
      <w:pPr>
        <w:keepNext/>
      </w:pPr>
      <w:r>
        <w:rPr>
          <w:b/>
        </w:rPr>
        <w:t xml:space="preserve">[F009] </w:t>
      </w:r>
      <w:hyperlink r:id="rId207">
        <w:r>
          <w:rPr>
            <w:color w:val="4338CA"/>
          </w:rPr>
          <w:t>产品与服务</w:t>
        </w:r>
      </w:hyperlink>
    </w:p>
    <w:p>
      <w:pPr>
        <w:keepNext/>
      </w:pPr>
      <w:r>
        <w:rPr>
          <w:sz w:val="16"/>
        </w:rPr>
        <w:t>北方华创 | 发布 未确认 | 检索 2026-10-15 | official | read</w:t>
      </w:r>
    </w:p>
    <w:p>
      <w:pPr>
        <w:keepNext/>
      </w:pPr>
      <w:r>
        <w:t>证据范围 Public product families etch PVD CVD implant RTP epitaxy bonding</w:t>
      </w:r>
    </w:p>
    <w:p>
      <w:r>
        <w:t>用于 晶圆制造：把电路图变成三维器件；设备公司地图：按工艺能力定位；先进封装与电测试：系统性能的另一半</w:t>
      </w:r>
    </w:p>
    <w:p>
      <w:pPr>
        <w:keepNext/>
      </w:pPr>
      <w:r>
        <w:rPr>
          <w:b/>
        </w:rPr>
        <w:t xml:space="preserve">[F010] </w:t>
      </w:r>
      <w:hyperlink r:id="rId210">
        <w:r>
          <w:rPr>
            <w:color w:val="4338CA"/>
          </w:rPr>
          <w:t>2025 company factsheet</w:t>
        </w:r>
      </w:hyperlink>
    </w:p>
    <w:p>
      <w:pPr>
        <w:keepNext/>
      </w:pPr>
      <w:r>
        <w:rPr>
          <w:sz w:val="16"/>
        </w:rPr>
        <w:t>中微公司 | 发布 未确认 | 检索 2026-10-15 | official | search-excerpt</w:t>
      </w:r>
    </w:p>
    <w:p>
      <w:pPr>
        <w:keepNext/>
      </w:pPr>
      <w:r>
        <w:t>证据范围 CCP ICP TSV MOCVD products and thin film development scope</w:t>
      </w:r>
    </w:p>
    <w:p>
      <w:r>
        <w:t>用于 晶圆制造：把电路图变成三维器件；设备公司地图：按工艺能力定位</w:t>
      </w:r>
    </w:p>
    <w:p>
      <w:pPr>
        <w:keepNext/>
      </w:pPr>
      <w:r>
        <w:rPr>
          <w:b/>
        </w:rPr>
        <w:t xml:space="preserve">[F011] </w:t>
      </w:r>
      <w:hyperlink r:id="rId206">
        <w:r>
          <w:rPr>
            <w:color w:val="4338CA"/>
          </w:rPr>
          <w:t>Product portfolio</w:t>
        </w:r>
      </w:hyperlink>
    </w:p>
    <w:p>
      <w:pPr>
        <w:keepNext/>
      </w:pPr>
      <w:r>
        <w:rPr>
          <w:sz w:val="16"/>
        </w:rPr>
        <w:t>拓荆科技 | 发布 未确认 | 检索 2026-10-15 | official | search-excerpt</w:t>
      </w:r>
    </w:p>
    <w:p>
      <w:pPr>
        <w:keepNext/>
      </w:pPr>
      <w:r>
        <w:t>证据范围 PECVD ALD gap fill and 3D IC product families</w:t>
      </w:r>
    </w:p>
    <w:p>
      <w:r>
        <w:t>用于 晶圆制造：把电路图变成三维器件；设备公司地图：按工艺能力定位；材料地图：同样叫“绝缘”，实际承担不同任务；先进封装与电测试：系统性能的另一半</w:t>
      </w:r>
    </w:p>
    <w:p>
      <w:pPr>
        <w:keepNext/>
      </w:pPr>
      <w:r>
        <w:rPr>
          <w:b/>
        </w:rPr>
        <w:t xml:space="preserve">[F012] </w:t>
      </w:r>
      <w:hyperlink r:id="rId213">
        <w:r>
          <w:rPr>
            <w:color w:val="4338CA"/>
          </w:rPr>
          <w:t>晶圆制造清洗产品</w:t>
        </w:r>
      </w:hyperlink>
    </w:p>
    <w:p>
      <w:pPr>
        <w:keepNext/>
      </w:pPr>
      <w:r>
        <w:rPr>
          <w:sz w:val="16"/>
        </w:rPr>
        <w:t>盛美上海 | 发布 未确认 | 检索 2026-10-15 | official | search-excerpt</w:t>
      </w:r>
    </w:p>
    <w:p>
      <w:pPr>
        <w:keepNext/>
      </w:pPr>
      <w:r>
        <w:t>证据范围 Post CMP silicon and SiC substrate cleaning single wafer cleaning</w:t>
      </w:r>
    </w:p>
    <w:p>
      <w:r>
        <w:t>用于 晶圆制造：把电路图变成三维器件；设备公司地图：按工艺能力定位</w:t>
      </w:r>
    </w:p>
    <w:p>
      <w:pPr>
        <w:keepNext/>
      </w:pPr>
      <w:r>
        <w:rPr>
          <w:b/>
        </w:rPr>
        <w:t xml:space="preserve">[F013] </w:t>
      </w:r>
      <w:hyperlink r:id="rId211">
        <w:r>
          <w:rPr>
            <w:color w:val="4338CA"/>
          </w:rPr>
          <w:t>Semiconductor manufacturing equipment</w:t>
        </w:r>
      </w:hyperlink>
    </w:p>
    <w:p>
      <w:pPr>
        <w:keepNext/>
      </w:pPr>
      <w:r>
        <w:rPr>
          <w:sz w:val="16"/>
        </w:rPr>
        <w:t>Ebara | 发布 未确认 | 检索 2026-10-15 | official | search-excerpt</w:t>
      </w:r>
    </w:p>
    <w:p>
      <w:pPr>
        <w:keepNext/>
      </w:pPr>
      <w:r>
        <w:t>证据范围 CMP dry vacuum pumps abatement ozone water and fab support roles</w:t>
      </w:r>
    </w:p>
    <w:p>
      <w:r>
        <w:t>用于 晶圆制造：把电路图变成三维器件；设备公司地图：按工艺能力定位</w:t>
      </w:r>
    </w:p>
    <w:p>
      <w:pPr>
        <w:keepNext/>
      </w:pPr>
      <w:r>
        <w:rPr>
          <w:b/>
        </w:rPr>
        <w:t xml:space="preserve">[F014] </w:t>
      </w:r>
      <w:hyperlink r:id="rId219">
        <w:r>
          <w:rPr>
            <w:color w:val="4338CA"/>
          </w:rPr>
          <w:t>Integrated semiconductor vacuum and exhaust solutions</w:t>
        </w:r>
      </w:hyperlink>
    </w:p>
    <w:p>
      <w:pPr>
        <w:keepNext/>
      </w:pPr>
      <w:r>
        <w:rPr>
          <w:sz w:val="16"/>
        </w:rPr>
        <w:t>Edwards | 发布 未确认 | 检索 2026-10-15 | official | search-excerpt</w:t>
      </w:r>
    </w:p>
    <w:p>
      <w:pPr>
        <w:keepNext/>
      </w:pPr>
      <w:r>
        <w:t>证据范围 Integrated pumps abatement lines water signals maintenance and cost</w:t>
      </w:r>
    </w:p>
    <w:p>
      <w:r>
        <w:t>用于 晶圆制造：把电路图变成三维器件；设备公司地图：按工艺能力定位</w:t>
      </w:r>
    </w:p>
    <w:p>
      <w:pPr>
        <w:keepNext/>
      </w:pPr>
      <w:r>
        <w:rPr>
          <w:b/>
        </w:rPr>
        <w:t xml:space="preserve">[F015] </w:t>
      </w:r>
      <w:hyperlink r:id="rId221">
        <w:r>
          <w:rPr>
            <w:color w:val="4338CA"/>
          </w:rPr>
          <w:t>Pulsed Radio Frequency solution for critical processes</w:t>
        </w:r>
      </w:hyperlink>
    </w:p>
    <w:p>
      <w:pPr>
        <w:keepNext/>
      </w:pPr>
      <w:r>
        <w:rPr>
          <w:sz w:val="16"/>
        </w:rPr>
        <w:t>MKS | 发布 未确认 | 检索 2026-10-15 | official | search-excerpt</w:t>
      </w:r>
    </w:p>
    <w:p>
      <w:pPr>
        <w:keepNext/>
      </w:pPr>
      <w:r>
        <w:t>证据范围 Pulsed RF response as a nonplanar semiconductor process control problem</w:t>
      </w:r>
    </w:p>
    <w:p>
      <w:r>
        <w:t>用于 晶圆制造：把电路图变成三维器件；设备公司地图：按工艺能力定位</w:t>
      </w:r>
    </w:p>
    <w:p>
      <w:pPr>
        <w:keepNext/>
      </w:pPr>
      <w:r>
        <w:rPr>
          <w:b/>
        </w:rPr>
        <w:t xml:space="preserve">[F016] </w:t>
      </w:r>
      <w:hyperlink r:id="rId222">
        <w:r>
          <w:rPr>
            <w:color w:val="4338CA"/>
          </w:rPr>
          <w:t>High Performance Vacuum Valves and Vacuum Systems</w:t>
        </w:r>
      </w:hyperlink>
    </w:p>
    <w:p>
      <w:pPr>
        <w:keepNext/>
      </w:pPr>
      <w:r>
        <w:rPr>
          <w:sz w:val="16"/>
        </w:rPr>
        <w:t>VAT | 发布 未确认 | 检索 2026-10-15 | official | search-excerpt</w:t>
      </w:r>
    </w:p>
    <w:p>
      <w:pPr>
        <w:keepNext/>
      </w:pPr>
      <w:r>
        <w:t>证据范围 Company vacuum valve product positioning only</w:t>
      </w:r>
    </w:p>
    <w:p>
      <w:r>
        <w:t>用于 晶圆制造：把电路图变成三维器件；设备公司地图：按工艺能力定位</w:t>
      </w:r>
    </w:p>
    <w:p>
      <w:pPr>
        <w:keepNext/>
      </w:pPr>
      <w:r>
        <w:rPr>
          <w:b/>
        </w:rPr>
        <w:t xml:space="preserve">[F017] </w:t>
      </w:r>
      <w:hyperlink r:id="rId201">
        <w:r>
          <w:rPr>
            <w:color w:val="4338CA"/>
          </w:rPr>
          <w:t>Synopsys and Intel Foundry accelerate advanced chip designs with IP and certified EDA flows for Intel 18A</w:t>
        </w:r>
      </w:hyperlink>
    </w:p>
    <w:p>
      <w:pPr>
        <w:keepNext/>
      </w:pPr>
      <w:r>
        <w:rPr>
          <w:sz w:val="16"/>
        </w:rPr>
        <w:t>Synopsys | 发布 2024-02-21 | 检索 2026-10-15 | official | search-excerpt</w:t>
      </w:r>
    </w:p>
    <w:p>
      <w:pPr>
        <w:keepNext/>
      </w:pPr>
      <w:r>
        <w:t>证据范围 Certified EDA IP design ecosystem and multi-die design role</w:t>
      </w:r>
    </w:p>
    <w:p>
      <w:r>
        <w:t>用于 晶圆制造：把电路图变成三维器件；计算与设计公司地图</w:t>
      </w:r>
    </w:p>
    <w:p>
      <w:pPr>
        <w:keepNext/>
      </w:pPr>
      <w:r>
        <w:rPr>
          <w:b/>
        </w:rPr>
        <w:t xml:space="preserve">[F018] </w:t>
      </w:r>
      <w:hyperlink r:id="rId218">
        <w:r>
          <w:rPr>
            <w:color w:val="4338CA"/>
          </w:rPr>
          <w:t>Applications of Multicolumn Electron Beam Lithography</w:t>
        </w:r>
      </w:hyperlink>
    </w:p>
    <w:p>
      <w:pPr>
        <w:keepNext/>
      </w:pPr>
      <w:r>
        <w:rPr>
          <w:sz w:val="16"/>
        </w:rPr>
        <w:t>Multibeam | 发布 未确认 | 检索 2026-10-15 | official | read</w:t>
      </w:r>
    </w:p>
    <w:p>
      <w:pPr>
        <w:keepNext/>
      </w:pPr>
      <w:r>
        <w:t>证据范围 Maskless advanced packaging photonics high mix applications; marketing multipliers excluded</w:t>
      </w:r>
    </w:p>
    <w:p>
      <w:r>
        <w:t>用于 晶圆制造：把电路图变成三维器件；设备公司地图：按工艺能力定位</w:t>
      </w:r>
    </w:p>
    <w:p>
      <w:pPr>
        <w:keepNext/>
      </w:pPr>
      <w:r>
        <w:rPr>
          <w:b/>
        </w:rPr>
        <w:t xml:space="preserve">[F019] </w:t>
      </w:r>
      <w:hyperlink r:id="rId205">
        <w:r>
          <w:rPr>
            <w:color w:val="4338CA"/>
          </w:rPr>
          <w:t>Epitaxial wafers</w:t>
        </w:r>
      </w:hyperlink>
    </w:p>
    <w:p>
      <w:pPr>
        <w:keepNext/>
      </w:pPr>
      <w:r>
        <w:rPr>
          <w:sz w:val="16"/>
        </w:rPr>
        <w:t>Siltronic | 发布 未确认 | 检索 2026-10-15 | official | read</w:t>
      </w:r>
    </w:p>
    <w:p>
      <w:pPr>
        <w:keepNext/>
      </w:pPr>
      <w:r>
        <w:t>证据范围 Additional monocrystalline layers on polished wafers and customer specified properties</w:t>
      </w:r>
    </w:p>
    <w:p>
      <w:r>
        <w:t>用于 晶圆制造：把电路图变成三维器件；材料地图：同样叫“绝缘”，实际承担不同任务；材料公司分布与投资验证</w:t>
      </w:r>
    </w:p>
    <w:p>
      <w:pPr>
        <w:keepNext/>
      </w:pPr>
      <w:r>
        <w:rPr>
          <w:b/>
        </w:rPr>
        <w:t xml:space="preserve">[F020] </w:t>
      </w:r>
      <w:hyperlink r:id="rId217">
        <w:r>
          <w:rPr>
            <w:color w:val="4338CA"/>
          </w:rPr>
          <w:t>Photomask blanks</w:t>
        </w:r>
      </w:hyperlink>
    </w:p>
    <w:p>
      <w:pPr>
        <w:keepNext/>
      </w:pPr>
      <w:r>
        <w:rPr>
          <w:sz w:val="16"/>
        </w:rPr>
        <w:t>Shin-Etsu Chemical | 发布 未确认 | 检索 2026-10-15 | official | read</w:t>
      </w:r>
    </w:p>
    <w:p>
      <w:pPr>
        <w:keepNext/>
      </w:pPr>
      <w:r>
        <w:t>证据范围 Blank material as photomask base and pattern template</w:t>
      </w:r>
    </w:p>
    <w:p>
      <w:r>
        <w:t>用于 晶圆制造：把电路图变成三维器件；材料地图：同样叫“绝缘”，实际承担不同任务；材料公司分布与投资验证</w:t>
      </w:r>
    </w:p>
    <w:p>
      <w:pPr>
        <w:keepNext/>
      </w:pPr>
      <w:r>
        <w:rPr>
          <w:b/>
        </w:rPr>
        <w:t xml:space="preserve">[F021] </w:t>
      </w:r>
      <w:hyperlink r:id="rId249">
        <w:r>
          <w:rPr>
            <w:color w:val="4338CA"/>
          </w:rPr>
          <w:t>Electronics Advanced Materials</w:t>
        </w:r>
      </w:hyperlink>
    </w:p>
    <w:p>
      <w:pPr>
        <w:keepNext/>
      </w:pPr>
      <w:r>
        <w:rPr>
          <w:sz w:val="16"/>
        </w:rPr>
        <w:t>Air Liquide | 发布 未确认 | 检索 2026-10-15 | official | read</w:t>
      </w:r>
    </w:p>
    <w:p>
      <w:pPr>
        <w:keepNext/>
      </w:pPr>
      <w:r>
        <w:t>证据范围 ALD CVD precursors etchants purity canisters qualified delivery systems</w:t>
      </w:r>
    </w:p>
    <w:p>
      <w:r>
        <w:t>用于 材料地图：同样叫“绝缘”，实际承担不同任务；材料公司分布与投资验证</w:t>
      </w:r>
    </w:p>
    <w:p>
      <w:pPr>
        <w:keepNext/>
      </w:pPr>
      <w:r>
        <w:rPr>
          <w:b/>
        </w:rPr>
        <w:t xml:space="preserve">[F022] </w:t>
      </w:r>
      <w:hyperlink r:id="rId248">
        <w:r>
          <w:rPr>
            <w:color w:val="4338CA"/>
          </w:rPr>
          <w:t>Semiconductors and Sensors materials</w:t>
        </w:r>
      </w:hyperlink>
    </w:p>
    <w:p>
      <w:pPr>
        <w:keepNext/>
      </w:pPr>
      <w:r>
        <w:rPr>
          <w:sz w:val="16"/>
        </w:rPr>
        <w:t>JX Advanced Metals | 发布 未确认 | 检索 2026-10-15 | official | read</w:t>
      </w:r>
    </w:p>
    <w:p>
      <w:pPr>
        <w:keepNext/>
      </w:pPr>
      <w:r>
        <w:t>证据范围 Semiconductor interconnect metals sputtering targets solder related materials</w:t>
      </w:r>
    </w:p>
    <w:p>
      <w:r>
        <w:t>用于 材料地图：同样叫“绝缘”，实际承担不同任务；材料公司分布与投资验证</w:t>
      </w:r>
    </w:p>
    <w:p>
      <w:pPr>
        <w:keepNext/>
      </w:pPr>
      <w:r>
        <w:rPr>
          <w:b/>
        </w:rPr>
        <w:t xml:space="preserve">[F023] </w:t>
      </w:r>
      <w:hyperlink r:id="rId212">
        <w:r>
          <w:rPr>
            <w:color w:val="4338CA"/>
          </w:rPr>
          <w:t>Chemical Mechanical Planarization</w:t>
        </w:r>
      </w:hyperlink>
    </w:p>
    <w:p>
      <w:pPr>
        <w:keepNext/>
      </w:pPr>
      <w:r>
        <w:rPr>
          <w:sz w:val="16"/>
        </w:rPr>
        <w:t>Entegris | 发布 未确认 | 检索 2026-10-15 | official | read</w:t>
      </w:r>
    </w:p>
    <w:p>
      <w:pPr>
        <w:keepNext/>
      </w:pPr>
      <w:r>
        <w:t>证据范围 Slurry pads filters brushes monitoring and defect management</w:t>
      </w:r>
    </w:p>
    <w:p>
      <w:r>
        <w:t>用于 晶圆制造：把电路图变成三维器件；材料地图：同样叫“绝缘”，实际承担不同任务；材料公司分布与投资验证</w:t>
      </w:r>
    </w:p>
    <w:p>
      <w:pPr>
        <w:keepNext/>
      </w:pPr>
      <w:r>
        <w:rPr>
          <w:b/>
        </w:rPr>
        <w:t xml:space="preserve">[F024] </w:t>
      </w:r>
      <w:hyperlink r:id="rId241">
        <w:r>
          <w:rPr>
            <w:color w:val="4338CA"/>
          </w:rPr>
          <w:t>Ajinomoto Build-up Film innovation story</w:t>
        </w:r>
      </w:hyperlink>
    </w:p>
    <w:p>
      <w:pPr>
        <w:keepNext/>
      </w:pPr>
      <w:r>
        <w:rPr>
          <w:sz w:val="16"/>
        </w:rPr>
        <w:t>Ajinomoto | 发布 未确认 | 检索 2026-10-15 | official | read</w:t>
      </w:r>
    </w:p>
    <w:p>
      <w:pPr>
        <w:keepNext/>
      </w:pPr>
      <w:r>
        <w:t>证据范围 ABF substrate insulation formulation low expansion and processing</w:t>
      </w:r>
    </w:p>
    <w:p>
      <w:r>
        <w:t>用于 材料地图：同样叫“绝缘”，实际承担不同任务；材料公司分布与投资验证</w:t>
      </w:r>
    </w:p>
    <w:p>
      <w:pPr>
        <w:keepNext/>
      </w:pPr>
      <w:r>
        <w:rPr>
          <w:b/>
        </w:rPr>
        <w:t xml:space="preserve">[F025] </w:t>
      </w:r>
      <w:hyperlink r:id="rId256">
        <w:r>
          <w:rPr>
            <w:color w:val="4338CA"/>
          </w:rPr>
          <w:t>Intel unveils glass substrates</w:t>
        </w:r>
      </w:hyperlink>
    </w:p>
    <w:p>
      <w:pPr>
        <w:keepNext/>
      </w:pPr>
      <w:r>
        <w:rPr>
          <w:sz w:val="16"/>
        </w:rPr>
        <w:t>Intel | 发布 2023-09-18 | 检索 2026-10-15 | official | read</w:t>
      </w:r>
    </w:p>
    <w:p>
      <w:pPr>
        <w:keepNext/>
      </w:pPr>
      <w:r>
        <w:t>证据范围 Glass substrate test chip development and roadmap announcement</w:t>
      </w:r>
    </w:p>
    <w:p>
      <w:r>
        <w:t>用于 材料地图：同样叫“绝缘”，实际承担不同任务；材料公司分布与投资验证</w:t>
      </w:r>
    </w:p>
    <w:p>
      <w:pPr>
        <w:keepNext/>
      </w:pPr>
      <w:r>
        <w:rPr>
          <w:b/>
        </w:rPr>
        <w:t xml:space="preserve">[F026] </w:t>
      </w:r>
      <w:hyperlink r:id="rId265">
        <w:r>
          <w:rPr>
            <w:color w:val="4338CA"/>
          </w:rPr>
          <w:t>TSMC SoIC</w:t>
        </w:r>
      </w:hyperlink>
    </w:p>
    <w:p>
      <w:pPr>
        <w:keepNext/>
      </w:pPr>
      <w:r>
        <w:rPr>
          <w:sz w:val="16"/>
        </w:rPr>
        <w:t>TSMC | 发布 未确认 | 检索 2026-10-15 | official | read</w:t>
      </w:r>
    </w:p>
    <w:p>
      <w:pPr>
        <w:keepNext/>
      </w:pPr>
      <w:r>
        <w:t>证据范围 3D stacking KGD heterogeneous integration and integration with CoWoS</w:t>
      </w:r>
    </w:p>
    <w:p>
      <w:r>
        <w:t>用于 先进封装与电测试：系统性能的另一半</w:t>
      </w:r>
    </w:p>
    <w:p>
      <w:pPr>
        <w:keepNext/>
      </w:pPr>
      <w:r>
        <w:rPr>
          <w:b/>
        </w:rPr>
        <w:t xml:space="preserve">[F027] </w:t>
      </w:r>
      <w:hyperlink r:id="rId266">
        <w:r>
          <w:rPr>
            <w:color w:val="4338CA"/>
          </w:rPr>
          <w:t>CoWoS</w:t>
        </w:r>
      </w:hyperlink>
    </w:p>
    <w:p>
      <w:pPr>
        <w:keepNext/>
      </w:pPr>
      <w:r>
        <w:rPr>
          <w:sz w:val="16"/>
        </w:rPr>
        <w:t>TSMC | 发布 未确认 | 检索 2026-10-15 | official | read</w:t>
      </w:r>
    </w:p>
    <w:p>
      <w:pPr>
        <w:keepNext/>
      </w:pPr>
      <w:r>
        <w:t>证据范围 CoWoS S silicon R RDL L local silicon variants and stated volume production years</w:t>
      </w:r>
    </w:p>
    <w:p>
      <w:r>
        <w:t>用于 先进封装与电测试：系统性能的另一半</w:t>
      </w:r>
    </w:p>
    <w:p>
      <w:pPr>
        <w:keepNext/>
      </w:pPr>
      <w:r>
        <w:rPr>
          <w:b/>
        </w:rPr>
        <w:t xml:space="preserve">[F028] </w:t>
      </w:r>
      <w:hyperlink r:id="rId268">
        <w:r>
          <w:rPr>
            <w:color w:val="4338CA"/>
          </w:rPr>
          <w:t>Advanced Packaging Innovations</w:t>
        </w:r>
      </w:hyperlink>
    </w:p>
    <w:p>
      <w:pPr>
        <w:keepNext/>
      </w:pPr>
      <w:r>
        <w:rPr>
          <w:sz w:val="16"/>
        </w:rPr>
        <w:t>Intel | 发布 未确认 | 检索 2026-10-15 | official | read</w:t>
      </w:r>
    </w:p>
    <w:p>
      <w:pPr>
        <w:keepNext/>
      </w:pPr>
      <w:r>
        <w:t>证据范围 EMIB Foveros advanced packaging platform roles and generation distinctions</w:t>
      </w:r>
    </w:p>
    <w:p>
      <w:r>
        <w:t>用于 先进封装与电测试：系统性能的另一半</w:t>
      </w:r>
    </w:p>
    <w:p>
      <w:pPr>
        <w:keepNext/>
      </w:pPr>
      <w:r>
        <w:rPr>
          <w:b/>
        </w:rPr>
        <w:t xml:space="preserve">[F029] </w:t>
      </w:r>
      <w:hyperlink r:id="rId253">
        <w:r>
          <w:rPr>
            <w:color w:val="4338CA"/>
          </w:rPr>
          <w:t>Bonding</w:t>
        </w:r>
      </w:hyperlink>
    </w:p>
    <w:p>
      <w:pPr>
        <w:keepNext/>
      </w:pPr>
      <w:r>
        <w:rPr>
          <w:sz w:val="16"/>
        </w:rPr>
        <w:t>EV Group | 发布 未确认 | 检索 2026-10-15 | official | read</w:t>
      </w:r>
    </w:p>
    <w:p>
      <w:pPr>
        <w:keepNext/>
      </w:pPr>
      <w:r>
        <w:t>证据范围 Hybrid fusion temporary permanent die to wafer bonding</w:t>
      </w:r>
    </w:p>
    <w:p>
      <w:r>
        <w:t>用于 材料地图：同样叫“绝缘”，实际承担不同任务；先进封装与电测试：系统性能的另一半</w:t>
      </w:r>
    </w:p>
    <w:p>
      <w:pPr>
        <w:keepNext/>
      </w:pPr>
      <w:r>
        <w:rPr>
          <w:b/>
        </w:rPr>
        <w:t xml:space="preserve">[F030] </w:t>
      </w:r>
      <w:hyperlink r:id="rId272">
        <w:r>
          <w:rPr>
            <w:color w:val="4338CA"/>
          </w:rPr>
          <w:t>Scientific publications packaging bonding</w:t>
        </w:r>
      </w:hyperlink>
    </w:p>
    <w:p>
      <w:pPr>
        <w:keepNext/>
      </w:pPr>
      <w:r>
        <w:rPr>
          <w:sz w:val="16"/>
        </w:rPr>
        <w:t>Besi | 发布 未确认 | 检索 2026-10-15 | official | search-excerpt</w:t>
      </w:r>
    </w:p>
    <w:p>
      <w:pPr>
        <w:keepNext/>
      </w:pPr>
      <w:r>
        <w:t>证据范围 TCB and hybrid bonding routes and process context</w:t>
      </w:r>
    </w:p>
    <w:p>
      <w:r>
        <w:t>用于 先进封装与电测试：系统性能的另一半</w:t>
      </w:r>
    </w:p>
    <w:p>
      <w:pPr>
        <w:keepNext/>
      </w:pPr>
      <w:r>
        <w:rPr>
          <w:b/>
        </w:rPr>
        <w:t xml:space="preserve">[F031] </w:t>
      </w:r>
      <w:hyperlink r:id="rId231">
        <w:r>
          <w:rPr>
            <w:color w:val="4338CA"/>
          </w:rPr>
          <w:t>Semiconductor manufacturing equipment and hybrid bonder</w:t>
        </w:r>
      </w:hyperlink>
    </w:p>
    <w:p>
      <w:pPr>
        <w:keepNext/>
      </w:pPr>
      <w:r>
        <w:rPr>
          <w:sz w:val="16"/>
        </w:rPr>
        <w:t>Shibaura Mechatronics | 发布 未确认 | 检索 2026-10-15 | official | search-excerpt</w:t>
      </w:r>
    </w:p>
    <w:p>
      <w:pPr>
        <w:keepNext/>
      </w:pPr>
      <w:r>
        <w:t>证据范围 Cleaning etching bonding C2W hybrid and thin chip handling roles</w:t>
      </w:r>
    </w:p>
    <w:p>
      <w:r>
        <w:t>用于 设备公司地图：按工艺能力定位；先进封装与电测试：系统性能的另一半；光子封装测试与罗博特科案例</w:t>
      </w:r>
    </w:p>
    <w:p>
      <w:pPr>
        <w:keepNext/>
      </w:pPr>
      <w:r>
        <w:rPr>
          <w:b/>
        </w:rPr>
        <w:t xml:space="preserve">[F032] </w:t>
      </w:r>
      <w:hyperlink r:id="rId277">
        <w:r>
          <w:rPr>
            <w:color w:val="4338CA"/>
          </w:rPr>
          <w:t>V93000 SoC test systems</w:t>
        </w:r>
      </w:hyperlink>
    </w:p>
    <w:p>
      <w:pPr>
        <w:keepNext/>
      </w:pPr>
      <w:r>
        <w:rPr>
          <w:sz w:val="16"/>
        </w:rPr>
        <w:t>Advantest | 发布 未确认 | 检索 2026-10-15 | official | read</w:t>
      </w:r>
    </w:p>
    <w:p>
      <w:pPr>
        <w:keepNext/>
      </w:pPr>
      <w:r>
        <w:t>证据范围 ATE electrical stimulus measurement scalability reuse and test architecture</w:t>
      </w:r>
    </w:p>
    <w:p>
      <w:r>
        <w:t>用于 先进封装与电测试：系统性能的另一半</w:t>
      </w:r>
    </w:p>
    <w:p>
      <w:pPr>
        <w:keepNext/>
      </w:pPr>
      <w:r>
        <w:rPr>
          <w:b/>
        </w:rPr>
        <w:t xml:space="preserve">[F033] </w:t>
      </w:r>
      <w:hyperlink r:id="rId278">
        <w:r>
          <w:rPr>
            <w:color w:val="4338CA"/>
          </w:rPr>
          <w:t>UltraFLEXplus SoC tester</w:t>
        </w:r>
      </w:hyperlink>
    </w:p>
    <w:p>
      <w:pPr>
        <w:keepNext/>
      </w:pPr>
      <w:r>
        <w:rPr>
          <w:sz w:val="16"/>
        </w:rPr>
        <w:t>Teradyne | 发布 未确认 | 检索 2026-10-15 | official | read</w:t>
      </w:r>
    </w:p>
    <w:p>
      <w:pPr>
        <w:keepNext/>
      </w:pPr>
      <w:r>
        <w:t>证据范围 SoC ATE instruments interfaces parallelism and test reuse</w:t>
      </w:r>
    </w:p>
    <w:p>
      <w:r>
        <w:t>用于 先进封装与电测试：系统性能的另一半；光子封装测试与罗博特科案例</w:t>
      </w:r>
    </w:p>
    <w:p>
      <w:pPr>
        <w:keepNext/>
      </w:pPr>
      <w:r>
        <w:rPr>
          <w:b/>
        </w:rPr>
        <w:t xml:space="preserve">[F034] </w:t>
      </w:r>
      <w:hyperlink r:id="rId273">
        <w:r>
          <w:rPr>
            <w:color w:val="4338CA"/>
          </w:rPr>
          <w:t>HFTAP series probe cards</w:t>
        </w:r>
      </w:hyperlink>
    </w:p>
    <w:p>
      <w:pPr>
        <w:keepNext/>
      </w:pPr>
      <w:r>
        <w:rPr>
          <w:sz w:val="16"/>
        </w:rPr>
        <w:t>FormFactor | 发布 未确认 | 检索 2026-10-15 | official | read</w:t>
      </w:r>
    </w:p>
    <w:p>
      <w:pPr>
        <w:keepNext/>
      </w:pPr>
      <w:r>
        <w:t>证据范围 DRAM HBM KGD wafer electrical probe cards and limits</w:t>
      </w:r>
    </w:p>
    <w:p>
      <w:r>
        <w:t>用于 先进封装与电测试：系统性能的另一半；光子封装测试与罗博特科案例</w:t>
      </w:r>
    </w:p>
    <w:p>
      <w:pPr>
        <w:keepNext/>
      </w:pPr>
      <w:r>
        <w:rPr>
          <w:b/>
        </w:rPr>
        <w:t xml:space="preserve">[F035] </w:t>
      </w:r>
      <w:hyperlink r:id="rId235">
        <w:r>
          <w:rPr>
            <w:color w:val="4338CA"/>
          </w:rPr>
          <w:t>Chroma semiconductor validation ecosystem SEMICON Taiwan 2026</w:t>
        </w:r>
      </w:hyperlink>
    </w:p>
    <w:p>
      <w:pPr>
        <w:keepNext/>
      </w:pPr>
      <w:r>
        <w:rPr>
          <w:sz w:val="16"/>
        </w:rPr>
        <w:t>Chroma | 发布 2026-08-24 | 检索 2026-10-15 | official | read</w:t>
      </w:r>
    </w:p>
    <w:p>
      <w:pPr>
        <w:keepNext/>
      </w:pPr>
      <w:r>
        <w:t>证据范围 SLT FT burn in thermal control contact handling system integration</w:t>
      </w:r>
    </w:p>
    <w:p>
      <w:r>
        <w:t>用于 设备公司地图：按工艺能力定位；先进封装与电测试：系统性能的另一半；光子封装测试与罗博特科案例</w:t>
      </w:r>
    </w:p>
    <w:p>
      <w:pPr>
        <w:keepNext/>
      </w:pPr>
      <w:r>
        <w:rPr>
          <w:b/>
        </w:rPr>
        <w:t xml:space="preserve">[F036] </w:t>
      </w:r>
      <w:hyperlink r:id="rId238">
        <w:r>
          <w:rPr>
            <w:color w:val="4338CA"/>
          </w:rPr>
          <w:t>Capabilities for photonics assembly and testing</w:t>
        </w:r>
      </w:hyperlink>
    </w:p>
    <w:p>
      <w:pPr>
        <w:keepNext/>
      </w:pPr>
      <w:r>
        <w:rPr>
          <w:sz w:val="16"/>
        </w:rPr>
        <w:t>ficonTEC | 发布 未确认 | 检索 2026-10-15 | official | read</w:t>
      </w:r>
    </w:p>
    <w:p>
      <w:pPr>
        <w:keepNext/>
      </w:pPr>
      <w:r>
        <w:t>证据范围 Passive active alignment calibrated vision optical feedback post bond shift process control</w:t>
      </w:r>
    </w:p>
    <w:p>
      <w:r>
        <w:t>用于 设备公司地图：按工艺能力定位；光子封装测试与罗博特科案例；技术壁垒与投资验证</w:t>
      </w:r>
    </w:p>
    <w:p>
      <w:pPr>
        <w:keepNext/>
      </w:pPr>
      <w:r>
        <w:rPr>
          <w:b/>
        </w:rPr>
        <w:t xml:space="preserve">[F037] </w:t>
      </w:r>
      <w:hyperlink r:id="rId279">
        <w:r>
          <w:rPr>
            <w:color w:val="4338CA"/>
          </w:rPr>
          <w:t>ficonTEC releases wafer level test cell to complement existing ATE</w:t>
        </w:r>
      </w:hyperlink>
    </w:p>
    <w:p>
      <w:pPr>
        <w:keepNext/>
      </w:pPr>
      <w:r>
        <w:rPr>
          <w:sz w:val="16"/>
        </w:rPr>
        <w:t>ficonTEC | 发布 未确认 | 检索 2026-10-15 | official | read</w:t>
      </w:r>
    </w:p>
    <w:p>
      <w:pPr>
        <w:keepNext/>
      </w:pPr>
      <w:r>
        <w:t>证据范围 300mm double sided electro optical testing six axis active alignment and ATE docking</w:t>
      </w:r>
    </w:p>
    <w:p>
      <w:r>
        <w:t>用于 光子封装测试与罗博特科案例；技术壁垒与投资验证</w:t>
      </w:r>
    </w:p>
    <w:p>
      <w:pPr>
        <w:keepNext/>
      </w:pPr>
      <w:r>
        <w:rPr>
          <w:b/>
        </w:rPr>
        <w:t xml:space="preserve">[F038] </w:t>
      </w:r>
      <w:hyperlink r:id="rId283">
        <w:r>
          <w:rPr>
            <w:color w:val="4338CA"/>
          </w:rPr>
          <w:t>罗博特科2026年半年度报告</w:t>
        </w:r>
      </w:hyperlink>
    </w:p>
    <w:p>
      <w:pPr>
        <w:keepNext/>
      </w:pPr>
      <w:r>
        <w:rPr>
          <w:sz w:val="16"/>
        </w:rPr>
        <w:t>罗博特科/巨潮资讯 | 发布 2026-08-26 | 检索 2026-10-15 | official | read</w:t>
      </w:r>
    </w:p>
    <w:p>
      <w:pPr>
        <w:keepNext/>
      </w:pPr>
      <w:r>
        <w:t>证据范围 Identity acquisition H1 revenue profit and orders at report disclosure date pages7 9 11</w:t>
      </w:r>
    </w:p>
    <w:p>
      <w:r>
        <w:t>用于 光子封装测试与罗博特科案例</w:t>
      </w:r>
    </w:p>
    <w:p>
      <w:pPr>
        <w:keepNext/>
      </w:pPr>
      <w:r>
        <w:rPr>
          <w:b/>
        </w:rPr>
        <w:t xml:space="preserve">[F039] </w:t>
      </w:r>
      <w:hyperlink r:id="rId282">
        <w:r>
          <w:rPr>
            <w:color w:val="4338CA"/>
          </w:rPr>
          <w:t>罗博特科标的资产过户情况独立财务顾问核查意见</w:t>
        </w:r>
      </w:hyperlink>
    </w:p>
    <w:p>
      <w:pPr>
        <w:keepNext/>
      </w:pPr>
      <w:r>
        <w:rPr>
          <w:sz w:val="16"/>
        </w:rPr>
        <w:t>东方证券/巨潮资讯 | 发布 2025-05-08 | 检索 2026-10-15 | official | read</w:t>
      </w:r>
    </w:p>
    <w:p>
      <w:pPr>
        <w:keepNext/>
      </w:pPr>
      <w:r>
        <w:t>证据范围 Completed asset transfer FSG FAG each100 percent ownership pages18 19</w:t>
      </w:r>
    </w:p>
    <w:p>
      <w:r>
        <w:t>用于 光子封装测试与罗博特科案例</w:t>
      </w:r>
    </w:p>
    <w:p>
      <w:pPr>
        <w:keepNext/>
      </w:pPr>
      <w:r>
        <w:rPr>
          <w:b/>
        </w:rPr>
        <w:t xml:space="preserve">[F040] </w:t>
      </w:r>
      <w:hyperlink r:id="rId276">
        <w:r>
          <w:rPr>
            <w:color w:val="4338CA"/>
          </w:rPr>
          <w:t>Semight company profile and product portfolio</w:t>
        </w:r>
      </w:hyperlink>
    </w:p>
    <w:p>
      <w:pPr>
        <w:keepNext/>
      </w:pPr>
      <w:r>
        <w:rPr>
          <w:sz w:val="16"/>
        </w:rPr>
        <w:t>Semight | 发布 未确认 | 检索 2026-10-15 | official | search-excerpt</w:t>
      </w:r>
    </w:p>
    <w:p>
      <w:pPr>
        <w:keepNext/>
      </w:pPr>
      <w:r>
        <w:t xml:space="preserve">证据范围 BERT、采样示波器、SMU、WAT、硅光晶圆及 SiC KGD 测试能力；证据限于公开摘要</w:t>
      </w:r>
    </w:p>
    <w:p>
      <w:r>
        <w:t>用于 先进封装与电测试：系统性能的另一半；光子封装测试与罗博特科案例</w:t>
      </w:r>
    </w:p>
    <w:p>
      <w:pPr>
        <w:keepNext/>
      </w:pPr>
      <w:r>
        <w:rPr>
          <w:b/>
        </w:rPr>
        <w:t xml:space="preserve">[F041] </w:t>
      </w:r>
      <w:hyperlink r:id="rId263">
        <w:r>
          <w:rPr>
            <w:color w:val="4338CA"/>
          </w:rPr>
          <w:t>National Silicon Industry Group products</w:t>
        </w:r>
      </w:hyperlink>
    </w:p>
    <w:p>
      <w:pPr>
        <w:keepNext/>
      </w:pPr>
      <w:r>
        <w:rPr>
          <w:sz w:val="16"/>
        </w:rPr>
        <w:t>NSIG | 发布 未确认 | 检索 2026-10-15 | official | search-excerpt</w:t>
      </w:r>
    </w:p>
    <w:p>
      <w:pPr>
        <w:keepNext/>
      </w:pPr>
      <w:r>
        <w:t>证据范围 300mm silicon SOI and customized wafer company network only</w:t>
      </w:r>
    </w:p>
    <w:p>
      <w:r>
        <w:t>用于 材料公司分布与投资验证</w:t>
      </w:r>
    </w:p>
    <w:p>
      <w:pPr>
        <w:keepNext/>
      </w:pPr>
      <w:r>
        <w:rPr>
          <w:b/>
        </w:rPr>
        <w:t xml:space="preserve">[F042] </w:t>
      </w:r>
      <w:hyperlink r:id="rId264">
        <w:r>
          <w:rPr>
            <w:color w:val="4338CA"/>
          </w:rPr>
          <w:t>华特气体中芯宁波优秀供应商新闻</w:t>
        </w:r>
      </w:hyperlink>
    </w:p>
    <w:p>
      <w:pPr>
        <w:keepNext/>
      </w:pPr>
      <w:r>
        <w:rPr>
          <w:sz w:val="16"/>
        </w:rPr>
        <w:t>华特气体 | 发布 2025-06-20 | 检索 2026-10-15 | official | search-excerpt</w:t>
      </w:r>
    </w:p>
    <w:p>
      <w:pPr>
        <w:keepNext/>
      </w:pPr>
      <w:r>
        <w:t>证据范围 Company stated specialty gases lithography mixtures and certifications; not independently verified</w:t>
      </w:r>
    </w:p>
    <w:p>
      <w:r>
        <w:t>用于 材料公司分布与投资验证</w:t>
      </w:r>
    </w:p>
    <w:p>
      <w:pPr>
        <w:keepNext/>
      </w:pPr>
      <w:r>
        <w:rPr>
          <w:b/>
        </w:rPr>
        <w:t xml:space="preserve">[F043] </w:t>
      </w:r>
      <w:hyperlink r:id="rId251">
        <w:r>
          <w:rPr>
            <w:color w:val="4338CA"/>
          </w:rPr>
          <w:t>安集科技解决方案</w:t>
        </w:r>
      </w:hyperlink>
    </w:p>
    <w:p>
      <w:pPr>
        <w:keepNext/>
      </w:pPr>
      <w:r>
        <w:rPr>
          <w:sz w:val="16"/>
        </w:rPr>
        <w:t>安集科技 | 发布 未确认 | 检索 2026-10-15 | official | read</w:t>
      </w:r>
    </w:p>
    <w:p>
      <w:pPr>
        <w:keepNext/>
      </w:pPr>
      <w:r>
        <w:t>证据范围 CMP slurries Cu barrier W dielectric substrate TSV hybrid bonding post etch chemistries</w:t>
      </w:r>
    </w:p>
    <w:p>
      <w:r>
        <w:t>用于 材料地图：同样叫“绝缘”，实际承担不同任务；材料公司分布与投资验证</w:t>
      </w:r>
    </w:p>
    <w:p>
      <w:pPr>
        <w:keepNext/>
      </w:pPr>
      <w:r>
        <w:rPr>
          <w:b/>
        </w:rPr>
        <w:t xml:space="preserve">[F044] </w:t>
      </w:r>
      <w:hyperlink r:id="rId209">
        <w:r>
          <w:rPr>
            <w:color w:val="4338CA"/>
          </w:rPr>
          <w:t>Semiconductor manufacturing field</w:t>
        </w:r>
      </w:hyperlink>
    </w:p>
    <w:p>
      <w:pPr>
        <w:keepNext/>
      </w:pPr>
      <w:r>
        <w:rPr>
          <w:sz w:val="16"/>
        </w:rPr>
        <w:t>Tokyo Ohka Kogyo | 发布 未确认 | 检索 2026-10-15 | official | search-excerpt</w:t>
      </w:r>
    </w:p>
    <w:p>
      <w:pPr>
        <w:keepNext/>
      </w:pPr>
      <w:r>
        <w:t>证据范围 Photoresist classes EUV ArF KrF and auxiliary chemical products</w:t>
      </w:r>
    </w:p>
    <w:p>
      <w:r>
        <w:t>用于 晶圆制造：把电路图变成三维器件；材料地图：同样叫“绝缘”，实际承担不同任务；材料公司分布与投资验证</w:t>
      </w:r>
    </w:p>
    <w:p>
      <w:pPr>
        <w:keepNext/>
      </w:pPr>
      <w:r>
        <w:rPr>
          <w:b/>
        </w:rPr>
        <w:t xml:space="preserve">[F045] </w:t>
      </w:r>
      <w:hyperlink r:id="rId250">
        <w:r>
          <w:rPr>
            <w:color w:val="4338CA"/>
          </w:rPr>
          <w:t>Deposition gases</w:t>
        </w:r>
      </w:hyperlink>
    </w:p>
    <w:p>
      <w:pPr>
        <w:keepNext/>
      </w:pPr>
      <w:r>
        <w:rPr>
          <w:sz w:val="16"/>
        </w:rPr>
        <w:t>SK materials product website | 发布 未确认 | 检索 2026-10-15 | official | search-excerpt</w:t>
      </w:r>
    </w:p>
    <w:p>
      <w:pPr>
        <w:keepNext/>
      </w:pPr>
      <w:r>
        <w:t>证据范围 WF6 SiH4 Si2H6 DCS deposition gas capabilities; entity ownership not inferred</w:t>
      </w:r>
    </w:p>
    <w:p>
      <w:r>
        <w:t>用于 材料地图：同样叫“绝缘”，实际承担不同任务；材料公司分布与投资验证</w:t>
      </w:r>
    </w:p>
    <w:p>
      <w:pPr>
        <w:keepNext/>
      </w:pPr>
      <w:r>
        <w:rPr>
          <w:b/>
        </w:rPr>
        <w:t xml:space="preserve">[F046] </w:t>
      </w:r>
      <w:hyperlink r:id="rId252">
        <w:r>
          <w:rPr>
            <w:color w:val="4338CA"/>
          </w:rPr>
          <w:t>BT materials presentation</w:t>
        </w:r>
      </w:hyperlink>
    </w:p>
    <w:p>
      <w:pPr>
        <w:keepNext/>
      </w:pPr>
      <w:r>
        <w:rPr>
          <w:sz w:val="16"/>
        </w:rPr>
        <w:t>Mitsubishi Gas Chemical | 发布 未确认 | 检索 2026-10-15 | official | read</w:t>
      </w:r>
    </w:p>
    <w:p>
      <w:pPr>
        <w:keepNext/>
      </w:pPr>
      <w:r>
        <w:t>证据范围 BT resin chemistry bismaleimide triazine and package substrate use</w:t>
      </w:r>
    </w:p>
    <w:p>
      <w:r>
        <w:t>用于 材料地图：同样叫“绝缘”，实际承担不同任务；材料公司分布与投资验证</w:t>
      </w:r>
    </w:p>
    <w:p>
      <w:pPr>
        <w:keepNext/>
      </w:pPr>
      <w:r>
        <w:rPr>
          <w:b/>
        </w:rPr>
        <w:t xml:space="preserve">[F047] </w:t>
      </w:r>
      <w:hyperlink r:id="rId269">
        <w:r>
          <w:rPr>
            <w:color w:val="4338CA"/>
          </w:rPr>
          <w:t>VIPack advanced packaging</w:t>
        </w:r>
      </w:hyperlink>
    </w:p>
    <w:p>
      <w:pPr>
        <w:keepNext/>
      </w:pPr>
      <w:r>
        <w:rPr>
          <w:sz w:val="16"/>
        </w:rPr>
        <w:t>ASE | 发布 未确认 | 检索 2026-10-15 | official | search-excerpt</w:t>
      </w:r>
    </w:p>
    <w:p>
      <w:pPr>
        <w:keepNext/>
      </w:pPr>
      <w:r>
        <w:t>证据范围 Fan out RDL TSV 2.5D 3D CPO platform; client wins not inferred</w:t>
      </w:r>
    </w:p>
    <w:p>
      <w:r>
        <w:t>用于 先进封装与电测试：系统性能的另一半</w:t>
      </w:r>
    </w:p>
    <w:p>
      <w:pPr>
        <w:keepNext/>
      </w:pPr>
      <w:r>
        <w:rPr>
          <w:b/>
        </w:rPr>
        <w:t xml:space="preserve">[F048] </w:t>
      </w:r>
      <w:hyperlink r:id="rId271">
        <w:r>
          <w:rPr>
            <w:color w:val="4338CA"/>
          </w:rPr>
          <w:t>2.5D 3D TSV packaging</w:t>
        </w:r>
      </w:hyperlink>
    </w:p>
    <w:p>
      <w:pPr>
        <w:keepNext/>
      </w:pPr>
      <w:r>
        <w:rPr>
          <w:sz w:val="16"/>
        </w:rPr>
        <w:t>Amkor | 发布 未确认 | 检索 2026-10-15 | official | search-excerpt</w:t>
      </w:r>
    </w:p>
    <w:p>
      <w:pPr>
        <w:keepNext/>
      </w:pPr>
      <w:r>
        <w:t>证据范围 TSV reveal thinning temporary bond backside metallization; explicitly excludes foundry TSV formation</w:t>
      </w:r>
    </w:p>
    <w:p>
      <w:r>
        <w:t>用于 先进封装与电测试：系统性能的另一半</w:t>
      </w:r>
    </w:p>
    <w:p>
      <w:pPr>
        <w:keepNext/>
      </w:pPr>
      <w:r>
        <w:rPr>
          <w:b/>
        </w:rPr>
        <w:t xml:space="preserve">[F049] </w:t>
      </w:r>
      <w:hyperlink r:id="rId270">
        <w:r>
          <w:rPr>
            <w:color w:val="4338CA"/>
          </w:rPr>
          <w:t>JCET XDFOI advanced packaging</w:t>
        </w:r>
      </w:hyperlink>
    </w:p>
    <w:p>
      <w:pPr>
        <w:keepNext/>
      </w:pPr>
      <w:r>
        <w:rPr>
          <w:sz w:val="16"/>
        </w:rPr>
        <w:t>JCET | 发布 未确认 | 检索 2026-10-15 | official | search-excerpt</w:t>
      </w:r>
    </w:p>
    <w:p>
      <w:pPr>
        <w:keepNext/>
      </w:pPr>
      <w:r>
        <w:t>证据范围 Ultra high density fan out and heterogeneous integration platform</w:t>
      </w:r>
    </w:p>
    <w:p>
      <w:r>
        <w:t>用于 先进封装与电测试：系统性能的另一半</w:t>
      </w:r>
    </w:p>
    <w:p>
      <w:pPr>
        <w:keepNext/>
      </w:pPr>
      <w:r>
        <w:rPr>
          <w:b/>
        </w:rPr>
        <w:t xml:space="preserve">[F050] </w:t>
      </w:r>
      <w:hyperlink r:id="rId246">
        <w:r>
          <w:rPr>
            <w:color w:val="4338CA"/>
          </w:rPr>
          <w:t>Photonics SOI substrates</w:t>
        </w:r>
      </w:hyperlink>
    </w:p>
    <w:p>
      <w:pPr>
        <w:keepNext/>
      </w:pPr>
      <w:r>
        <w:rPr>
          <w:sz w:val="16"/>
        </w:rPr>
        <w:t>Soitec | 发布 未确认 | 检索 2026-10-15 | official | read</w:t>
      </w:r>
    </w:p>
    <w:p>
      <w:pPr>
        <w:keepNext/>
      </w:pPr>
      <w:r>
        <w:t>证据范围 Silicon on insulator photonics platform and data communication use</w:t>
      </w:r>
    </w:p>
    <w:p>
      <w:r>
        <w:t>用于 材料地图：同样叫“绝缘”，实际承担不同任务；材料公司分布与投资验证</w:t>
      </w:r>
    </w:p>
    <w:p>
      <w:pPr>
        <w:keepNext/>
      </w:pPr>
      <w:r>
        <w:rPr>
          <w:b/>
        </w:rPr>
        <w:t xml:space="preserve">[F051] </w:t>
      </w:r>
      <w:hyperlink r:id="rId236">
        <w:r>
          <w:rPr>
            <w:color w:val="4338CA"/>
          </w:rPr>
          <w:t>HANMI SEMICON Taiwan 2026 exhibitor entry</w:t>
        </w:r>
      </w:hyperlink>
    </w:p>
    <w:p>
      <w:pPr>
        <w:keepNext/>
      </w:pPr>
      <w:r>
        <w:rPr>
          <w:sz w:val="16"/>
        </w:rPr>
        <w:t>SEMI/HANMI | 发布 未确认 | 检索 2026-10-15 | official | search-excerpt</w:t>
      </w:r>
    </w:p>
    <w:p>
      <w:pPr>
        <w:keepNext/>
      </w:pPr>
      <w:r>
        <w:t>证据范围 Manufacturer stated HBM TC bonder capability; self asserted market rank excluded</w:t>
      </w:r>
    </w:p>
    <w:p>
      <w:r>
        <w:t>用于 设备公司地图：按工艺能力定位；先进封装与电测试：系统性能的另一半</w:t>
      </w:r>
    </w:p>
    <w:p>
      <w:pPr>
        <w:keepNext/>
      </w:pPr>
      <w:r>
        <w:rPr>
          <w:b/>
        </w:rPr>
        <w:t xml:space="preserve">[F052] </w:t>
      </w:r>
      <w:hyperlink r:id="rId257">
        <w:r>
          <w:rPr>
            <w:color w:val="4338CA"/>
          </w:rPr>
          <w:t>Synthetic diamond semiconductor solutions</w:t>
        </w:r>
      </w:hyperlink>
    </w:p>
    <w:p>
      <w:pPr>
        <w:keepNext/>
      </w:pPr>
      <w:r>
        <w:rPr>
          <w:sz w:val="16"/>
        </w:rPr>
        <w:t>Element Six | 发布 未确认 | 检索 2026-10-15 | official | read</w:t>
      </w:r>
    </w:p>
    <w:p>
      <w:pPr>
        <w:keepNext/>
      </w:pPr>
      <w:r>
        <w:t>证据范围 CVD diamond and copper diamond thermal product availability; adoption not inferred</w:t>
      </w:r>
    </w:p>
    <w:p>
      <w:r>
        <w:t>用于 材料地图：同样叫“绝缘”，实际承担不同任务；材料公司分布与投资验证</w:t>
      </w:r>
    </w:p>
    <w:p>
      <w:pPr>
        <w:keepNext/>
      </w:pPr>
      <w:r>
        <w:rPr>
          <w:b/>
        </w:rPr>
        <w:t xml:space="preserve">[F053] </w:t>
      </w:r>
      <w:hyperlink r:id="rId242">
        <w:r>
          <w:rPr>
            <w:color w:val="4338CA"/>
          </w:rPr>
          <w:t>Scaling AI Data Center Power Delivery with Si SiC and GaN</w:t>
        </w:r>
      </w:hyperlink>
    </w:p>
    <w:p>
      <w:pPr>
        <w:keepNext/>
      </w:pPr>
      <w:r>
        <w:rPr>
          <w:sz w:val="16"/>
        </w:rPr>
        <w:t>Infineon | 发布 未确认 | 检索 2026-10-15 | official | search-excerpt</w:t>
      </w:r>
    </w:p>
    <w:p>
      <w:pPr>
        <w:keepNext/>
      </w:pPr>
      <w:r>
        <w:t>证据范围 8kW reference PSU mixed Si SiC GaN PFC and DC DC stages</w:t>
      </w:r>
    </w:p>
    <w:p>
      <w:r>
        <w:t>用于 材料地图：同样叫“绝缘”，实际承担不同任务</w:t>
      </w:r>
    </w:p>
    <w:p>
      <w:pPr>
        <w:keepNext/>
      </w:pPr>
      <w:r>
        <w:rPr>
          <w:b/>
        </w:rPr>
        <w:t xml:space="preserve">[F054] </w:t>
      </w:r>
      <w:hyperlink r:id="rId216">
        <w:r>
          <w:rPr>
            <w:color w:val="4338CA"/>
          </w:rPr>
          <w:t>Lenses and mirrors lithography principles</w:t>
        </w:r>
      </w:hyperlink>
    </w:p>
    <w:p>
      <w:pPr>
        <w:keepNext/>
      </w:pPr>
      <w:r>
        <w:rPr>
          <w:sz w:val="16"/>
        </w:rPr>
        <w:t>ASML | 发布 未确认 | 检索 2026-10-15 | official | search-excerpt</w:t>
      </w:r>
    </w:p>
    <w:p>
      <w:pPr>
        <w:keepNext/>
      </w:pPr>
      <w:r>
        <w:t>证据范围 DUV lens and EUV mirror optical architecture distinction</w:t>
      </w:r>
    </w:p>
    <w:p>
      <w:r>
        <w:t>用于 晶圆制造：把电路图变成三维器件；设备公司地图：按工艺能力定位；材料地图：同样叫“绝缘”，实际承担不同任务</w:t>
      </w:r>
    </w:p>
    <w:p>
      <w:pPr>
        <w:keepNext/>
      </w:pPr>
      <w:r>
        <w:rPr>
          <w:b/>
        </w:rPr>
        <w:t xml:space="preserve">[F055] </w:t>
      </w:r>
      <w:hyperlink r:id="rId254">
        <w:r>
          <w:rPr>
            <w:color w:val="4338CA"/>
          </w:rPr>
          <w:t>High tech underfill solutions</w:t>
        </w:r>
      </w:hyperlink>
    </w:p>
    <w:p>
      <w:pPr>
        <w:keepNext/>
      </w:pPr>
      <w:r>
        <w:rPr>
          <w:sz w:val="16"/>
        </w:rPr>
        <w:t>Henkel | 发布 2024-11-08 | 检索 2026-10-15 | official | read</w:t>
      </w:r>
    </w:p>
    <w:p>
      <w:pPr>
        <w:keepNext/>
      </w:pPr>
      <w:r>
        <w:t>证据范围 Underfill TIM liquid molding lid and stiffener attach material roles</w:t>
      </w:r>
    </w:p>
    <w:p>
      <w:r>
        <w:t>用于 材料地图：同样叫“绝缘”，实际承担不同任务；材料公司分布与投资验证；先进封装与电测试：系统性能的另一半</w:t>
      </w:r>
    </w:p>
    <w:p>
      <w:pPr>
        <w:keepNext/>
      </w:pPr>
      <w:r>
        <w:rPr>
          <w:b/>
        </w:rPr>
        <w:t xml:space="preserve">[F056] </w:t>
      </w:r>
      <w:hyperlink r:id="rId255">
        <w:r>
          <w:rPr>
            <w:color w:val="4338CA"/>
          </w:rPr>
          <w:t>IT materials product FAQ</w:t>
        </w:r>
      </w:hyperlink>
    </w:p>
    <w:p>
      <w:pPr>
        <w:keepNext/>
      </w:pPr>
      <w:r>
        <w:rPr>
          <w:sz w:val="16"/>
        </w:rPr>
        <w:t>Sumitomo Bakelite | 发布 未确认 | 检索 2026-10-15 | official | search-excerpt</w:t>
      </w:r>
    </w:p>
    <w:p>
      <w:pPr>
        <w:keepNext/>
      </w:pPr>
      <w:r>
        <w:t>证据范围 Epoxy molding compounds for semiconductor encapsulation</w:t>
      </w:r>
    </w:p>
    <w:p>
      <w:r>
        <w:t>用于 材料地图：同样叫“绝缘”，实际承担不同任务；材料公司分布与投资验证</w:t>
      </w:r>
    </w:p>
    <w:p>
      <w:pPr>
        <w:keepNext/>
      </w:pPr>
      <w:r>
        <w:rPr>
          <w:b/>
        </w:rPr>
        <w:t xml:space="preserve">[F057] </w:t>
      </w:r>
      <w:hyperlink r:id="rId237">
        <w:r>
          <w:rPr>
            <w:color w:val="4338CA"/>
          </w:rPr>
          <w:t>How will GAAFET affect ALD intensity discussion</w:t>
        </w:r>
      </w:hyperlink>
    </w:p>
    <w:p>
      <w:pPr>
        <w:keepNext/>
      </w:pPr>
      <w:r>
        <w:rPr>
          <w:sz w:val="16"/>
        </w:rPr>
        <w:t>Reddit r/Semiconductors | 发布 未确认 | 检索 2026-10-15 | forum | search-excerpt</w:t>
      </w:r>
    </w:p>
    <w:p>
      <w:pPr>
        <w:keepNext/>
      </w:pPr>
      <w:r>
        <w:t>证据范围 Anonymous discussion of ALD speed quality and batch tradeoffs; hypotheses only</w:t>
      </w:r>
    </w:p>
    <w:p>
      <w:r>
        <w:t>用于 设备公司地图：按工艺能力定位</w:t>
      </w:r>
    </w:p>
    <w:p>
      <w:pPr>
        <w:keepNext/>
      </w:pPr>
      <w:r>
        <w:rPr>
          <w:b/>
        </w:rPr>
        <w:t xml:space="preserve">[F058] </w:t>
      </w:r>
      <w:hyperlink r:id="rId239">
        <w:r>
          <w:rPr>
            <w:color w:val="4338CA"/>
          </w:rPr>
          <w:t>Die to Wafer bonding white paper</w:t>
        </w:r>
      </w:hyperlink>
    </w:p>
    <w:p>
      <w:pPr>
        <w:keepNext/>
      </w:pPr>
      <w:r>
        <w:rPr>
          <w:sz w:val="16"/>
        </w:rPr>
        <w:t>EV Group | 发布 未确认 | 检索 2026-10-15 | official | search-excerpt</w:t>
      </w:r>
    </w:p>
    <w:p>
      <w:pPr>
        <w:keepNext/>
      </w:pPr>
      <w:r>
        <w:t>证据范围 Bonding development needs materials cleaning carriers and adjacent processes</w:t>
      </w:r>
    </w:p>
    <w:p>
      <w:r>
        <w:t>用于 设备公司地图：按工艺能力定位；材料公司分布与投资验证；先进封装与电测试：系统性能的另一半；光子封装测试与罗博特科案例</w:t>
      </w:r>
    </w:p>
    <w:p>
      <w:pPr>
        <w:keepNext/>
      </w:pPr>
      <w:r>
        <w:rPr>
          <w:b/>
        </w:rPr>
        <w:t xml:space="preserve">[F059] </w:t>
      </w:r>
      <w:hyperlink r:id="rId240">
        <w:r>
          <w:rPr>
            <w:color w:val="4338CA"/>
          </w:rPr>
          <w:t>Advanced Package Bonder TFC 6500 W</w:t>
        </w:r>
      </w:hyperlink>
    </w:p>
    <w:p>
      <w:pPr>
        <w:keepNext/>
      </w:pPr>
      <w:r>
        <w:rPr>
          <w:sz w:val="16"/>
        </w:rPr>
        <w:t>Shibaura Mechatronics | 发布 未确认 | 检索 2026-10-15 | official | search-excerpt</w:t>
      </w:r>
    </w:p>
    <w:p>
      <w:pPr>
        <w:keepNext/>
      </w:pPr>
      <w:r>
        <w:t>证据范围 Accuracy given with local alignment room temperature 3sigma and dry UPH conditions</w:t>
      </w:r>
    </w:p>
    <w:p>
      <w:r>
        <w:t>用于 设备公司地图：按工艺能力定位；光子封装测试与罗博特科案例</w:t>
      </w:r>
    </w:p>
    <w:p>
      <w:pPr>
        <w:keepNext/>
      </w:pPr>
      <w:r>
        <w:rPr>
          <w:b/>
        </w:rPr>
        <w:t xml:space="preserve">[F060] </w:t>
      </w:r>
      <w:hyperlink r:id="rId247">
        <w:r>
          <w:rPr>
            <w:color w:val="4338CA"/>
          </w:rPr>
          <w:t>Interconnect materials engineering</w:t>
        </w:r>
      </w:hyperlink>
    </w:p>
    <w:p>
      <w:pPr>
        <w:keepNext/>
      </w:pPr>
      <w:r>
        <w:rPr>
          <w:sz w:val="16"/>
        </w:rPr>
        <w:t>Applied Materials | 发布 未确认 | 检索 2026-10-15 | official | search-excerpt</w:t>
      </w:r>
    </w:p>
    <w:p>
      <w:pPr>
        <w:keepNext/>
      </w:pPr>
      <w:r>
        <w:t>证据范围 Low k dielectric and RuCo barrier liner as specific wiring integration paths</w:t>
      </w:r>
    </w:p>
    <w:p>
      <w:r>
        <w:t>用于 材料地图：同样叫“绝缘”，实际承担不同任务</w:t>
      </w:r>
    </w:p>
    <w:p>
      <w:pPr>
        <w:keepNext/>
      </w:pPr>
      <w:r>
        <w:rPr>
          <w:b/>
        </w:rPr>
        <w:t xml:space="preserve">[F061] </w:t>
      </w:r>
      <w:hyperlink r:id="rId244">
        <w:r>
          <w:rPr>
            <w:color w:val="4338CA"/>
          </w:rPr>
          <w:t>Wacker Polysilicon annual report2024</w:t>
        </w:r>
      </w:hyperlink>
    </w:p>
    <w:p>
      <w:pPr>
        <w:keepNext/>
      </w:pPr>
      <w:r>
        <w:rPr>
          <w:sz w:val="16"/>
        </w:rPr>
        <w:t>Wacker | 发布 未确认 | 检索 2026-10-15 | official | search-excerpt</w:t>
      </w:r>
    </w:p>
    <w:p>
      <w:pPr>
        <w:keepNext/>
      </w:pPr>
      <w:r>
        <w:t>证据范围 Semiconductor grade versus solar grade polysilicon distinction and high purity capacity</w:t>
      </w:r>
    </w:p>
    <w:p>
      <w:r>
        <w:t>用于 材料地图：同样叫“绝缘”，实际承担不同任务；材料公司分布与投资验证</w:t>
      </w:r>
    </w:p>
    <w:p>
      <w:pPr>
        <w:keepNext/>
      </w:pPr>
      <w:r>
        <w:rPr>
          <w:b/>
        </w:rPr>
        <w:t xml:space="preserve">[F062] </w:t>
      </w:r>
      <w:hyperlink r:id="rId259">
        <w:r>
          <w:rPr>
            <w:color w:val="4338CA"/>
          </w:rPr>
          <w:t>AXT substrate products</w:t>
        </w:r>
      </w:hyperlink>
    </w:p>
    <w:p>
      <w:pPr>
        <w:keepNext/>
      </w:pPr>
      <w:r>
        <w:rPr>
          <w:sz w:val="16"/>
        </w:rPr>
        <w:t>AXT | 发布 未确认 | 检索 2026-10-15 | official | search-excerpt</w:t>
      </w:r>
    </w:p>
    <w:p>
      <w:pPr>
        <w:keepNext/>
      </w:pPr>
      <w:r>
        <w:t>证据范围 InP GaAs Ge VGF substrate and raw materials capability; market rank excluded</w:t>
      </w:r>
    </w:p>
    <w:p>
      <w:r>
        <w:t>用于 材料地图：同样叫“绝缘”，实际承担不同任务；材料公司分布与投资验证</w:t>
      </w:r>
    </w:p>
    <w:p>
      <w:pPr>
        <w:keepNext/>
      </w:pPr>
      <w:r>
        <w:rPr>
          <w:b/>
        </w:rPr>
        <w:t xml:space="preserve">[F063] </w:t>
      </w:r>
      <w:hyperlink r:id="rId267">
        <w:r>
          <w:rPr>
            <w:color w:val="4338CA"/>
          </w:rPr>
          <w:t>TSMC2025 annual report</w:t>
        </w:r>
      </w:hyperlink>
    </w:p>
    <w:p>
      <w:pPr>
        <w:keepNext/>
      </w:pPr>
      <w:r>
        <w:rPr>
          <w:sz w:val="16"/>
        </w:rPr>
        <w:t>TSMC | 发布 未确认 | 检索 2026-10-15 | official | search-excerpt</w:t>
      </w:r>
    </w:p>
    <w:p>
      <w:pPr>
        <w:keepNext/>
      </w:pPr>
      <w:r>
        <w:t>证据范围 CoWoS L RDL embedded local silicon interconnect; reserve contextual source</w:t>
      </w:r>
    </w:p>
    <w:p>
      <w:r>
        <w:t>用于 先进封装与电测试：系统性能的另一半</w:t>
      </w:r>
    </w:p>
    <w:p>
      <w:pPr>
        <w:keepNext/>
      </w:pPr>
      <w:r>
        <w:rPr>
          <w:b/>
        </w:rPr>
        <w:t xml:space="preserve">[F064] </w:t>
      </w:r>
      <w:hyperlink r:id="rId258">
        <w:r>
          <w:rPr>
            <w:color w:val="4338CA"/>
          </w:rPr>
          <w:t>Coherent customer sampling300mm high thermal conductivity SiC</w:t>
        </w:r>
      </w:hyperlink>
    </w:p>
    <w:p>
      <w:pPr>
        <w:keepNext/>
      </w:pPr>
      <w:r>
        <w:rPr>
          <w:sz w:val="16"/>
        </w:rPr>
        <w:t>Coherent | 发布 2026-08-17 | 检索 2026-10-15 | official | read</w:t>
      </w:r>
    </w:p>
    <w:p>
      <w:pPr>
        <w:keepNext/>
      </w:pPr>
      <w:r>
        <w:t>证据范围 Customer sampling announcement dated2026-08-17; not volume adoption</w:t>
      </w:r>
    </w:p>
    <w:p>
      <w:r>
        <w:t>用于 材料地图：同样叫“绝缘”，实际承担不同任务；材料公司分布与投资验证</w:t>
      </w:r>
    </w:p>
    <w:p>
      <w:pPr>
        <w:keepNext/>
      </w:pPr>
      <w:r>
        <w:rPr>
          <w:b/>
        </w:rPr>
        <w:t xml:space="preserve">[F065] </w:t>
      </w:r>
      <w:hyperlink r:id="rId261">
        <w:r>
          <w:rPr>
            <w:color w:val="4338CA"/>
          </w:rPr>
          <w:t>GlobalWafers products</w:t>
        </w:r>
      </w:hyperlink>
    </w:p>
    <w:p>
      <w:pPr>
        <w:keepNext/>
      </w:pPr>
      <w:r>
        <w:rPr>
          <w:sz w:val="16"/>
        </w:rPr>
        <w:t>GlobalWafers | 发布 未确认 | 检索 2026-10-15 | official | search-excerpt</w:t>
      </w:r>
    </w:p>
    <w:p>
      <w:pPr>
        <w:keepNext/>
      </w:pPr>
      <w:r>
        <w:t>证据范围 Annealed compound SOI epitaxial ingot diffusion polished wafer product families</w:t>
      </w:r>
    </w:p>
    <w:p>
      <w:r>
        <w:t>用于 材料公司分布与投资验证</w:t>
      </w:r>
    </w:p>
    <w:p>
      <w:pPr>
        <w:keepNext/>
      </w:pPr>
      <w:r>
        <w:rPr>
          <w:b/>
        </w:rPr>
        <w:t xml:space="preserve">[F066] </w:t>
      </w:r>
      <w:hyperlink r:id="rId245">
        <w:r>
          <w:rPr>
            <w:color w:val="4338CA"/>
          </w:rPr>
          <w:t>SUMCO product lineup</w:t>
        </w:r>
      </w:hyperlink>
    </w:p>
    <w:p>
      <w:pPr>
        <w:keepNext/>
      </w:pPr>
      <w:r>
        <w:rPr>
          <w:sz w:val="16"/>
        </w:rPr>
        <w:t>SUMCO | 发布 未确认 | 检索 2026-10-15 | official | search-excerpt</w:t>
      </w:r>
    </w:p>
    <w:p>
      <w:pPr>
        <w:keepNext/>
      </w:pPr>
      <w:r>
        <w:t>证据范围 Polished epitaxial annealed SOI reclaimed wafer structures</w:t>
      </w:r>
    </w:p>
    <w:p>
      <w:r>
        <w:t>用于 材料地图：同样叫“绝缘”，实际承担不同任务；材料公司分布与投资验证</w:t>
      </w:r>
    </w:p>
    <w:p>
      <w:pPr>
        <w:keepNext/>
      </w:pPr>
      <w:r>
        <w:rPr>
          <w:b/>
        </w:rPr>
        <w:t xml:space="preserve">[F067] </w:t>
      </w:r>
      <w:hyperlink r:id="rId262">
        <w:r>
          <w:rPr>
            <w:color w:val="4338CA"/>
          </w:rPr>
          <w:t>Hemlock markets and technologies</w:t>
        </w:r>
      </w:hyperlink>
    </w:p>
    <w:p>
      <w:pPr>
        <w:keepNext/>
      </w:pPr>
      <w:r>
        <w:rPr>
          <w:sz w:val="16"/>
        </w:rPr>
        <w:t>Hemlock Semiconductor | 发布 未确认 | 检索 2026-10-15 | official | search-excerpt</w:t>
      </w:r>
    </w:p>
    <w:p>
      <w:pPr>
        <w:keepNext/>
      </w:pPr>
      <w:r>
        <w:t>证据范围 Polysilicon business capability only</w:t>
      </w:r>
    </w:p>
    <w:p>
      <w:r>
        <w:t>用于 材料公司分布与投资验证</w:t>
      </w:r>
    </w:p>
    <w:p>
      <w:pPr>
        <w:keepNext/>
      </w:pPr>
      <w:r>
        <w:rPr>
          <w:b/>
        </w:rPr>
        <w:t xml:space="preserve">[F068] </w:t>
      </w:r>
      <w:hyperlink r:id="rId243">
        <w:r>
          <w:rPr>
            <w:color w:val="4338CA"/>
          </w:rPr>
          <w:t>Ferrotec products and technologies</w:t>
        </w:r>
      </w:hyperlink>
    </w:p>
    <w:p>
      <w:pPr>
        <w:keepNext/>
      </w:pPr>
      <w:r>
        <w:rPr>
          <w:sz w:val="16"/>
        </w:rPr>
        <w:t>Ferrotec | 发布 未确认 | 检索 2026-10-15 | official | search-excerpt</w:t>
      </w:r>
    </w:p>
    <w:p>
      <w:pPr>
        <w:keepNext/>
      </w:pPr>
      <w:r>
        <w:t>证据范围 Quartz advanced ceramics CVD SiC parts and related equipment consumables</w:t>
      </w:r>
    </w:p>
    <w:p>
      <w:r>
        <w:t>用于 材料地图：同样叫“绝缘”，实际承担不同任务；材料公司分布与投资验证</w:t>
      </w:r>
    </w:p>
    <w:p>
      <w:pPr>
        <w:keepNext/>
      </w:pPr>
      <w:r>
        <w:rPr>
          <w:b/>
        </w:rPr>
        <w:t xml:space="preserve">[F069] </w:t>
      </w:r>
      <w:hyperlink r:id="rId275">
        <w:r>
          <w:rPr>
            <w:color w:val="4338CA"/>
          </w:rPr>
          <w:t>JCET2025 interim report</w:t>
        </w:r>
      </w:hyperlink>
    </w:p>
    <w:p>
      <w:pPr>
        <w:keepNext/>
      </w:pPr>
      <w:r>
        <w:rPr>
          <w:sz w:val="16"/>
        </w:rPr>
        <w:t>JCET | 发布 2025-08-20 | 检索 2026-10-15 | official | search-excerpt</w:t>
      </w:r>
    </w:p>
    <w:p>
      <w:pPr>
        <w:keepNext/>
      </w:pPr>
      <w:r>
        <w:t xml:space="preserve">证据范围 公开摘要列示 STATS ChipPAC Management 与 JCET STATS ChipPAC Korea 的子公司关系</w:t>
      </w:r>
    </w:p>
    <w:p>
      <w:r>
        <w:t>用于 先进封装与电测试：系统性能的另一半</w:t>
      </w:r>
    </w:p>
    <w:p>
      <w:pPr>
        <w:keepNext/>
      </w:pPr>
      <w:r>
        <w:rPr>
          <w:b/>
        </w:rPr>
        <w:t xml:space="preserve">[F070] </w:t>
      </w:r>
      <w:hyperlink r:id="rId121">
        <w:r>
          <w:rPr>
            <w:color w:val="4338CA"/>
          </w:rPr>
          <w:t>Photonics assembly and testing product overview</w:t>
        </w:r>
      </w:hyperlink>
    </w:p>
    <w:p>
      <w:pPr>
        <w:keepNext/>
      </w:pPr>
      <w:r>
        <w:rPr>
          <w:sz w:val="16"/>
        </w:rPr>
        <w:t>ficonTEC | 发布 未确认 | 检索 2026-10-15 | official | search-excerpt</w:t>
      </w:r>
    </w:p>
    <w:p>
      <w:pPr>
        <w:keepNext/>
      </w:pPr>
      <w:r>
        <w:t>证据范围 Align attach UV epoxy soldering welding LIV burn in beam spectral tests</w:t>
      </w:r>
    </w:p>
    <w:p>
      <w:r>
        <w:t>用于 光子封装测试与罗博特科案例</w:t>
      </w:r>
    </w:p>
    <w:p>
      <w:pPr>
        <w:keepNext/>
      </w:pPr>
      <w:r>
        <w:rPr>
          <w:b/>
        </w:rPr>
        <w:t xml:space="preserve">[F071] </w:t>
      </w:r>
      <w:hyperlink r:id="rId280">
        <w:r>
          <w:rPr>
            <w:color w:val="4338CA"/>
          </w:rPr>
          <w:t>Wafer Testline brochure</w:t>
        </w:r>
      </w:hyperlink>
    </w:p>
    <w:p>
      <w:pPr>
        <w:keepNext/>
      </w:pPr>
      <w:r>
        <w:rPr>
          <w:sz w:val="16"/>
        </w:rPr>
        <w:t>ficonTEC | 发布 未确认 | 检索 2026-10-15 | official | search-excerpt</w:t>
      </w:r>
    </w:p>
    <w:p>
      <w:pPr>
        <w:keepNext/>
      </w:pPr>
      <w:r>
        <w:t>证据范围 Wafer optical alignment coupling repeatability under vendor brochure conditions</w:t>
      </w:r>
    </w:p>
    <w:p>
      <w:r>
        <w:t>用于 光子封装测试与罗博特科案例；技术壁垒与投资验证</w:t>
      </w:r>
    </w:p>
    <w:p>
      <w:pPr>
        <w:keepNext/>
      </w:pPr>
      <w:r>
        <w:rPr>
          <w:b/>
        </w:rPr>
        <w:t xml:space="preserve">[F072] </w:t>
      </w:r>
      <w:hyperlink r:id="rId260">
        <w:r>
          <w:rPr>
            <w:color w:val="4338CA"/>
          </w:rPr>
          <w:t>AXT global operations and company overview</w:t>
        </w:r>
      </w:hyperlink>
    </w:p>
    <w:p>
      <w:pPr>
        <w:keepNext/>
      </w:pPr>
      <w:r>
        <w:rPr>
          <w:sz w:val="16"/>
        </w:rPr>
        <w:t>AXT | 发布 未确认 | 检索 2026-10-15 | official | search-excerpt</w:t>
      </w:r>
    </w:p>
    <w:p>
      <w:pPr>
        <w:keepNext/>
      </w:pPr>
      <w:r>
        <w:t>证据范围 US headquarters Tongmei manufacturing operations in China</w:t>
      </w:r>
    </w:p>
    <w:p>
      <w:r>
        <w:t>用于 材料地图：同样叫“绝缘”，实际承担不同任务；材料公司分布与投资验证</w:t>
      </w:r>
    </w:p>
    <w:p>
      <w:pPr>
        <w:keepNext/>
      </w:pPr>
      <w:r>
        <w:rPr>
          <w:b/>
        </w:rPr>
        <w:t xml:space="preserve">[F073] </w:t>
      </w:r>
      <w:hyperlink r:id="rId274">
        <w:r>
          <w:rPr>
            <w:color w:val="4338CA"/>
          </w:rPr>
          <w:t>Shibaura semiconductor solutions</w:t>
        </w:r>
      </w:hyperlink>
    </w:p>
    <w:p>
      <w:pPr>
        <w:keepNext/>
      </w:pPr>
      <w:r>
        <w:rPr>
          <w:sz w:val="16"/>
        </w:rPr>
        <w:t>Shibaura Mechatronics | 发布 未确认 | 检索 2026-10-15 | official | search-excerpt</w:t>
      </w:r>
    </w:p>
    <w:p>
      <w:pPr>
        <w:keepNext/>
      </w:pPr>
      <w:r>
        <w:t>证据范围 Thin die pickup deformation compensation and assembly process tradeoffs</w:t>
      </w:r>
    </w:p>
    <w:p>
      <w:r>
        <w:t>用于 先进封装与电测试：系统性能的另一半</w:t>
      </w:r>
    </w:p>
    <w:p>
      <w:pPr>
        <w:keepNext/>
      </w:pPr>
      <w:r>
        <w:rPr>
          <w:b/>
        </w:rPr>
        <w:t xml:space="preserve">[F074] </w:t>
      </w:r>
      <w:hyperlink r:id="rId220">
        <w:r>
          <w:rPr>
            <w:color w:val="4338CA"/>
          </w:rPr>
          <w:t>Ebara products widely used in semiconductor factories</w:t>
        </w:r>
      </w:hyperlink>
    </w:p>
    <w:p>
      <w:pPr>
        <w:keepNext/>
      </w:pPr>
      <w:r>
        <w:rPr>
          <w:sz w:val="16"/>
        </w:rPr>
        <w:t>Ebara | 发布 未确认 | 检索 2026-10-15 | official | search-excerpt</w:t>
      </w:r>
    </w:p>
    <w:p>
      <w:pPr>
        <w:keepNext/>
      </w:pPr>
      <w:r>
        <w:t>证据范围 Cleanroom subfab machine room rooftop support and fluid connections</w:t>
      </w:r>
    </w:p>
    <w:p>
      <w:r>
        <w:t>用于 晶圆制造：把电路图变成三维器件</w:t>
      </w:r>
    </w:p>
    <w:p>
      <w:pPr>
        <w:keepNext/>
      </w:pPr>
      <w:r>
        <w:rPr>
          <w:b/>
        </w:rPr>
        <w:t xml:space="preserve">[F075] </w:t>
      </w:r>
      <w:hyperlink r:id="rId226">
        <w:r>
          <w:rPr>
            <w:color w:val="4338CA"/>
          </w:rPr>
          <w:t>Semiconductor related inspection products</w:t>
        </w:r>
      </w:hyperlink>
    </w:p>
    <w:p>
      <w:pPr>
        <w:keepNext/>
      </w:pPr>
      <w:r>
        <w:rPr>
          <w:sz w:val="16"/>
        </w:rPr>
        <w:t>Lasertec | 发布 未确认 | 检索 2026-10-15 | official | search-excerpt</w:t>
      </w:r>
    </w:p>
    <w:p>
      <w:pPr>
        <w:keepNext/>
      </w:pPr>
      <w:r>
        <w:t>证据范围 EUV DUV mask blank pellicle and wafer inspection categories</w:t>
      </w:r>
    </w:p>
    <w:p>
      <w:r>
        <w:t>用于 设备公司地图：按工艺能力定位</w:t>
      </w:r>
    </w:p>
    <w:p>
      <w:pPr>
        <w:keepNext/>
      </w:pPr>
      <w:r>
        <w:rPr>
          <w:b/>
        </w:rPr>
        <w:t xml:space="preserve">[F076] </w:t>
      </w:r>
      <w:hyperlink r:id="rId228">
        <w:r>
          <w:rPr>
            <w:color w:val="4338CA"/>
          </w:rPr>
          <w:t>DISCO product and technology lineup</w:t>
        </w:r>
      </w:hyperlink>
    </w:p>
    <w:p>
      <w:pPr>
        <w:keepNext/>
      </w:pPr>
      <w:r>
        <w:rPr>
          <w:sz w:val="16"/>
        </w:rPr>
        <w:t>DISCO | 发布 未确认 | 检索 2026-10-15 | official | search-excerpt</w:t>
      </w:r>
    </w:p>
    <w:p>
      <w:pPr>
        <w:keepNext/>
      </w:pPr>
      <w:r>
        <w:t>证据范围 Dicing saw laser saw grinders polishers blades wheels</w:t>
      </w:r>
    </w:p>
    <w:p>
      <w:r>
        <w:t>用于 设备公司地图：按工艺能力定位</w:t>
      </w:r>
    </w:p>
    <w:p>
      <w:pPr>
        <w:keepNext/>
      </w:pPr>
      <w:r>
        <w:rPr>
          <w:b/>
        </w:rPr>
        <w:t xml:space="preserve">[F077] </w:t>
      </w:r>
      <w:hyperlink r:id="rId227">
        <w:r>
          <w:rPr>
            <w:color w:val="4338CA"/>
          </w:rPr>
          <w:t>SCREEN semiconductor product lists</w:t>
        </w:r>
      </w:hyperlink>
    </w:p>
    <w:p>
      <w:pPr>
        <w:keepNext/>
      </w:pPr>
      <w:r>
        <w:rPr>
          <w:sz w:val="16"/>
        </w:rPr>
        <w:t>SCREEN | 发布 未确认 | 检索 2026-10-15 | official | search-excerpt</w:t>
      </w:r>
    </w:p>
    <w:p>
      <w:pPr>
        <w:keepNext/>
      </w:pPr>
      <w:r>
        <w:t>证据范围 Wafer cleaning track annealing metrology and direct package patterning</w:t>
      </w:r>
    </w:p>
    <w:p>
      <w:r>
        <w:t>用于 设备公司地图：按工艺能力定位</w:t>
      </w:r>
    </w:p>
    <w:p>
      <w:pPr>
        <w:keepNext/>
      </w:pPr>
      <w:r>
        <w:rPr>
          <w:b/>
        </w:rPr>
        <w:t xml:space="preserve">[F078] </w:t>
      </w:r>
      <w:hyperlink r:id="rId229">
        <w:r>
          <w:rPr>
            <w:color w:val="4338CA"/>
          </w:rPr>
          <w:t>ZEISS SMT products and technologies</w:t>
        </w:r>
      </w:hyperlink>
    </w:p>
    <w:p>
      <w:pPr>
        <w:keepNext/>
      </w:pPr>
      <w:r>
        <w:rPr>
          <w:sz w:val="16"/>
        </w:rPr>
        <w:t>ZEISS | 发布 未确认 | 检索 2026-10-15 | official | search-excerpt</w:t>
      </w:r>
    </w:p>
    <w:p>
      <w:pPr>
        <w:keepNext/>
      </w:pPr>
      <w:r>
        <w:t>证据范围 Precision lithography optical systems upstream role</w:t>
      </w:r>
    </w:p>
    <w:p>
      <w:r>
        <w:t>用于 设备公司地图：按工艺能力定位</w:t>
      </w:r>
    </w:p>
    <w:p>
      <w:pPr>
        <w:keepNext/>
      </w:pPr>
      <w:r>
        <w:rPr>
          <w:b/>
        </w:rPr>
        <w:t xml:space="preserve">[F079] </w:t>
      </w:r>
      <w:hyperlink r:id="rId225">
        <w:r>
          <w:rPr>
            <w:color w:val="4338CA"/>
          </w:rPr>
          <w:t>Electron beam mask writer</w:t>
        </w:r>
      </w:hyperlink>
    </w:p>
    <w:p>
      <w:pPr>
        <w:keepNext/>
      </w:pPr>
      <w:r>
        <w:rPr>
          <w:sz w:val="16"/>
        </w:rPr>
        <w:t>NuFlare | 发布 未确认 | 检索 2026-10-15 | official | search-excerpt</w:t>
      </w:r>
    </w:p>
    <w:p>
      <w:pPr>
        <w:keepNext/>
      </w:pPr>
      <w:r>
        <w:t>证据范围 Writing reticle patterns distinct from direct wafer patterning</w:t>
      </w:r>
    </w:p>
    <w:p>
      <w:r>
        <w:t>用于 设备公司地图：按工艺能力定位</w:t>
      </w:r>
    </w:p>
    <w:p>
      <w:pPr>
        <w:keepNext/>
      </w:pPr>
      <w:r>
        <w:rPr>
          <w:b/>
        </w:rPr>
        <w:t xml:space="preserve">[F080] </w:t>
      </w:r>
      <w:hyperlink r:id="rId223">
        <w:r>
          <w:rPr>
            <w:color w:val="4338CA"/>
          </w:rPr>
          <w:t>Nikon semiconductor lithography lineup</w:t>
        </w:r>
      </w:hyperlink>
    </w:p>
    <w:p>
      <w:pPr>
        <w:keepNext/>
      </w:pPr>
      <w:r>
        <w:rPr>
          <w:sz w:val="16"/>
        </w:rPr>
        <w:t>Nikon | 发布 未确认 | 检索 2026-10-15 | official | search-excerpt</w:t>
      </w:r>
    </w:p>
    <w:p>
      <w:pPr>
        <w:keepNext/>
      </w:pPr>
      <w:r>
        <w:t>证据范围 ArF immersion dry scanners and package lithography categories</w:t>
      </w:r>
    </w:p>
    <w:p>
      <w:r>
        <w:t>用于 设备公司地图：按工艺能力定位</w:t>
      </w:r>
    </w:p>
    <w:p>
      <w:pPr>
        <w:keepNext/>
      </w:pPr>
      <w:r>
        <w:rPr>
          <w:b/>
        </w:rPr>
        <w:t xml:space="preserve">[F081] </w:t>
      </w:r>
      <w:hyperlink r:id="rId224">
        <w:r>
          <w:rPr>
            <w:color w:val="4338CA"/>
          </w:rPr>
          <w:t>Canon semiconductor manufacturing equipment</w:t>
        </w:r>
      </w:hyperlink>
    </w:p>
    <w:p>
      <w:pPr>
        <w:keepNext/>
      </w:pPr>
      <w:r>
        <w:rPr>
          <w:sz w:val="16"/>
        </w:rPr>
        <w:t>Canon | 发布 未确认 | 检索 2026-10-15 | official | search-excerpt</w:t>
      </w:r>
    </w:p>
    <w:p>
      <w:pPr>
        <w:keepNext/>
      </w:pPr>
      <w:r>
        <w:t>证据范围 i line DUV and nanoimprint system portfolio only</w:t>
      </w:r>
    </w:p>
    <w:p>
      <w:r>
        <w:t>用于 设备公司地图：按工艺能力定位</w:t>
      </w:r>
    </w:p>
    <w:p>
      <w:pPr>
        <w:keepNext/>
      </w:pPr>
      <w:r>
        <w:rPr>
          <w:b/>
        </w:rPr>
        <w:t xml:space="preserve">[F082] </w:t>
      </w:r>
      <w:hyperlink r:id="rId281">
        <w:r>
          <w:rPr>
            <w:color w:val="4338CA"/>
          </w:rPr>
          <w:t>Active photonics alignment systems</w:t>
        </w:r>
      </w:hyperlink>
    </w:p>
    <w:p>
      <w:pPr>
        <w:keepNext/>
      </w:pPr>
      <w:r>
        <w:rPr>
          <w:sz w:val="16"/>
        </w:rPr>
        <w:t>Physik Instrumente | 发布 未确认 | 检索 2026-10-15 | official | search-excerpt</w:t>
      </w:r>
    </w:p>
    <w:p>
      <w:pPr>
        <w:keepNext/>
      </w:pPr>
      <w:r>
        <w:t>证据范围 Six DOF multichannel active optical alignment mechanisms controllers algorithms</w:t>
      </w:r>
    </w:p>
    <w:p>
      <w:r>
        <w:t>用于 光子封装测试与罗博特科案例；技术壁垒与投资验证</w:t>
      </w:r>
    </w:p>
    <w:p>
      <w:pPr>
        <w:keepNext/>
      </w:pPr>
      <w:r>
        <w:rPr>
          <w:b/>
        </w:rPr>
        <w:t xml:space="preserve">[F083] </w:t>
      </w:r>
      <w:hyperlink r:id="rId230">
        <w:r>
          <w:rPr>
            <w:color w:val="4338CA"/>
          </w:rPr>
          <w:t>Generation of EUV radiation</w:t>
        </w:r>
      </w:hyperlink>
    </w:p>
    <w:p>
      <w:pPr>
        <w:keepNext/>
      </w:pPr>
      <w:r>
        <w:rPr>
          <w:sz w:val="16"/>
        </w:rPr>
        <w:t>TRUMPF | 发布 未确认 | 检索 2026-10-15 | official | search-excerpt</w:t>
      </w:r>
    </w:p>
    <w:p>
      <w:pPr>
        <w:keepNext/>
      </w:pPr>
      <w:r>
        <w:t>证据范围 CO2 laser drive in EUV system ASML integration ZEISS optics</w:t>
      </w:r>
    </w:p>
    <w:p>
      <w:r>
        <w:t>用于 设备公司地图：按工艺能力定位</w:t>
      </w:r>
    </w:p>
    <w:p>
      <w:pPr>
        <w:keepNext/>
      </w:pPr>
      <w:r>
        <w:rPr>
          <w:b/>
        </w:rPr>
        <w:t xml:space="preserve">[F084] </w:t>
      </w:r>
      <w:hyperlink r:id="rId232">
        <w:r>
          <w:rPr>
            <w:color w:val="4338CA"/>
          </w:rPr>
          <w:t>华海清科2026年半年度报告</w:t>
        </w:r>
      </w:hyperlink>
    </w:p>
    <w:p>
      <w:pPr>
        <w:keepNext/>
      </w:pPr>
      <w:r>
        <w:rPr>
          <w:sz w:val="16"/>
        </w:rPr>
        <w:t>华海清科/巨潮资讯 | 发布 2026-08-22 | 检索 2026-10-15 | official | search-excerpt</w:t>
      </w:r>
    </w:p>
    <w:p>
      <w:pPr>
        <w:keepNext/>
      </w:pPr>
      <w:r>
        <w:t>证据范围 CMP thinning equipment portfolio; no market forecasts adopted</w:t>
      </w:r>
    </w:p>
    <w:p>
      <w:r>
        <w:t>用于 设备公司地图：按工艺能力定位</w:t>
      </w:r>
    </w:p>
    <w:p>
      <w:pPr>
        <w:keepNext/>
      </w:pPr>
      <w:r>
        <w:rPr>
          <w:b/>
        </w:rPr>
        <w:t xml:space="preserve">[F085] </w:t>
      </w:r>
      <w:hyperlink r:id="rId233">
        <w:r>
          <w:rPr>
            <w:color w:val="4338CA"/>
          </w:rPr>
          <w:t>中科飞测产品目录</w:t>
        </w:r>
      </w:hyperlink>
    </w:p>
    <w:p>
      <w:pPr>
        <w:keepNext/>
      </w:pPr>
      <w:r>
        <w:rPr>
          <w:sz w:val="16"/>
        </w:rPr>
        <w:t>中科飞测 | 发布 未确认 | 检索 2026-10-15 | official | search-excerpt</w:t>
      </w:r>
    </w:p>
    <w:p>
      <w:pPr>
        <w:keepNext/>
      </w:pPr>
      <w:r>
        <w:t>证据范围 Wafer defects CD film thickness overlay and3D topography metrology</w:t>
      </w:r>
    </w:p>
    <w:p>
      <w:r>
        <w:t>用于 设备公司地图：按工艺能力定位</w:t>
      </w:r>
    </w:p>
    <w:p>
      <w:pPr>
        <w:keepNext/>
      </w:pPr>
      <w:r>
        <w:rPr>
          <w:b/>
        </w:rPr>
        <w:t xml:space="preserve">[F086] </w:t>
      </w:r>
      <w:hyperlink r:id="rId234">
        <w:r>
          <w:rPr>
            <w:color w:val="4338CA"/>
          </w:rPr>
          <w:t>长川科技产品目录</w:t>
        </w:r>
      </w:hyperlink>
    </w:p>
    <w:p>
      <w:pPr>
        <w:keepNext/>
      </w:pPr>
      <w:r>
        <w:rPr>
          <w:sz w:val="16"/>
        </w:rPr>
        <w:t>长川科技 | 发布 未确认 | 检索 2026-10-15 | official | search-excerpt</w:t>
      </w:r>
    </w:p>
    <w:p>
      <w:pPr>
        <w:keepNext/>
      </w:pPr>
      <w:r>
        <w:t>证据范围 Tester handler prober AOI categories; no AI customer certification inferred</w:t>
      </w:r>
    </w:p>
    <w:p>
      <w:r>
        <w:t>用于 设备公司地图：按工艺能力定位</w:t>
      </w:r>
    </w:p>
    <w:p>
      <w:pPr>
        <w:keepNext/>
      </w:pPr>
      <w:r>
        <w:rPr>
          <w:b/>
        </w:rPr>
        <w:t xml:space="preserve">[N001] </w:t>
      </w:r>
      <w:hyperlink r:id="rId60">
        <w:r>
          <w:rPr>
            <w:color w:val="4338CA"/>
          </w:rPr>
          <w:t>Executive summary: Key Questions on Energy and AI</w:t>
        </w:r>
      </w:hyperlink>
    </w:p>
    <w:p>
      <w:pPr>
        <w:keepNext/>
      </w:pPr>
      <w:r>
        <w:rPr>
          <w:sz w:val="16"/>
        </w:rPr>
        <w:t>IEA | 发布 未确认 | 检索 2026-10-15 | official | read</w:t>
      </w:r>
    </w:p>
    <w:p>
      <w:pPr>
        <w:keepNext/>
      </w:pPr>
      <w:r>
        <w:t>证据范围 2025年485TWh与2030年950TWh预测及电力和供应链约束</w:t>
      </w:r>
    </w:p>
    <w:p>
      <w:r>
        <w:t>用于 从电网到芯片：供电架构与材料；热量怎样离开机柜：液冷、建设与运维</w:t>
      </w:r>
    </w:p>
    <w:p>
      <w:pPr>
        <w:keepNext/>
      </w:pPr>
      <w:r>
        <w:rPr>
          <w:b/>
        </w:rPr>
        <w:t xml:space="preserve">[N002] </w:t>
      </w:r>
      <w:hyperlink r:id="rId59">
        <w:r>
          <w:rPr>
            <w:color w:val="4338CA"/>
          </w:rPr>
          <w:t>Why Scaling AI Compute Performance Requires a New Power Architecture</w:t>
        </w:r>
      </w:hyperlink>
    </w:p>
    <w:p>
      <w:pPr>
        <w:keepNext/>
      </w:pPr>
      <w:r>
        <w:rPr>
          <w:sz w:val="16"/>
        </w:rPr>
        <w:t>NVIDIA | 发布 2026-08-11 | 检索 2026-10-15 | official | read</w:t>
      </w:r>
    </w:p>
    <w:p>
      <w:pPr>
        <w:keepNext/>
      </w:pPr>
      <w:r>
        <w:t>证据范围 800VDC混合power rack 2026H2与row power center 2027时间边界</w:t>
      </w:r>
    </w:p>
    <w:p>
      <w:r>
        <w:t>用于 从电网到芯片：供电架构与材料</w:t>
      </w:r>
    </w:p>
    <w:p>
      <w:pPr>
        <w:keepNext/>
      </w:pPr>
      <w:r>
        <w:rPr>
          <w:b/>
        </w:rPr>
        <w:t xml:space="preserve">[N003] </w:t>
      </w:r>
      <w:hyperlink r:id="rId326">
        <w:r>
          <w:rPr>
            <w:color w:val="4338CA"/>
          </w:rPr>
          <w:t>NVIDIA 800 VDC Architecture Will Power the Next Generation of AI Factories</w:t>
        </w:r>
      </w:hyperlink>
    </w:p>
    <w:p>
      <w:pPr>
        <w:keepNext/>
      </w:pPr>
      <w:r>
        <w:rPr>
          <w:sz w:val="16"/>
        </w:rPr>
        <w:t>NVIDIA | 发布 2025-05-20 | 检索 2026-10-15 | official | search-excerpt</w:t>
      </w:r>
    </w:p>
    <w:p>
      <w:pPr>
        <w:keepNext/>
      </w:pPr>
      <w:r>
        <w:t>证据范围 800VDC架构背景与路线图，效益为厂商目标</w:t>
      </w:r>
    </w:p>
    <w:p>
      <w:r>
        <w:t>用于 延伸阅读与研究线索</w:t>
      </w:r>
    </w:p>
    <w:p>
      <w:pPr>
        <w:keepNext/>
      </w:pPr>
      <w:r>
        <w:rPr>
          <w:b/>
        </w:rPr>
        <w:t xml:space="preserve">[N004] </w:t>
      </w:r>
      <w:hyperlink r:id="rId54">
        <w:r>
          <w:rPr>
            <w:color w:val="4338CA"/>
          </w:rPr>
          <w:t>Open Rack V3 Power Shelf Rev 1.0</w:t>
        </w:r>
      </w:hyperlink>
    </w:p>
    <w:p>
      <w:pPr>
        <w:keepNext/>
      </w:pPr>
      <w:r>
        <w:rPr>
          <w:sz w:val="16"/>
        </w:rPr>
        <w:t>OCP | 发布 未确认 | 检索 2026-10-15 | standard | read</w:t>
      </w:r>
    </w:p>
    <w:p>
      <w:pPr>
        <w:keepNext/>
      </w:pPr>
      <w:r>
        <w:t>证据范围 48V公共母排、整流模块N+1热插拔、接口和材料要求</w:t>
      </w:r>
    </w:p>
    <w:p>
      <w:r>
        <w:t>用于 从电网到芯片：供电架构与材料</w:t>
      </w:r>
    </w:p>
    <w:p>
      <w:pPr>
        <w:keepNext/>
      </w:pPr>
      <w:r>
        <w:rPr>
          <w:b/>
        </w:rPr>
        <w:t xml:space="preserve">[N005] </w:t>
      </w:r>
      <w:hyperlink r:id="rId68">
        <w:r>
          <w:rPr>
            <w:color w:val="4338CA"/>
          </w:rPr>
          <w:t>Infineon to revolutionize power delivery architecture for future AI server racks with NVIDIA</w:t>
        </w:r>
      </w:hyperlink>
    </w:p>
    <w:p>
      <w:pPr>
        <w:keepNext/>
      </w:pPr>
      <w:r>
        <w:rPr>
          <w:sz w:val="16"/>
        </w:rPr>
        <w:t>Infineon | 发布 2025-05-20 | 检索 2026-10-15 | official | read</w:t>
      </w:r>
    </w:p>
    <w:p>
      <w:pPr>
        <w:keepNext/>
      </w:pPr>
      <w:r>
        <w:t>证据范围 Si SiC GaN在grid-to-core供电的不同位置</w:t>
      </w:r>
    </w:p>
    <w:p>
      <w:r>
        <w:t>用于 从电网到芯片：供电架构与材料；热量怎样离开机柜：液冷、建设与运维</w:t>
      </w:r>
    </w:p>
    <w:p>
      <w:pPr>
        <w:keepNext/>
      </w:pPr>
      <w:r>
        <w:rPr>
          <w:b/>
        </w:rPr>
        <w:t xml:space="preserve">[N006] </w:t>
      </w:r>
      <w:hyperlink r:id="rId63">
        <w:r>
          <w:rPr>
            <w:color w:val="4338CA"/>
          </w:rPr>
          <w:t>Q3 FY25 Investor Presentation</w:t>
        </w:r>
      </w:hyperlink>
    </w:p>
    <w:p>
      <w:pPr>
        <w:keepNext/>
      </w:pPr>
      <w:r>
        <w:rPr>
          <w:sz w:val="16"/>
        </w:rPr>
        <w:t>Infineon | 发布 2025-08-05 | 检索 2026-10-15 | official | search-excerpt</w:t>
      </w:r>
    </w:p>
    <w:p>
      <w:pPr>
        <w:keepNext/>
      </w:pPr>
      <w:r>
        <w:t>证据范围 第59页800V 54V 12V及VRM、储能示意</w:t>
      </w:r>
    </w:p>
    <w:p>
      <w:r>
        <w:t>用于 从电网到芯片：供电架构与材料</w:t>
      </w:r>
    </w:p>
    <w:p>
      <w:pPr>
        <w:keepNext/>
      </w:pPr>
      <w:r>
        <w:rPr>
          <w:b/>
        </w:rPr>
        <w:t xml:space="preserve">[N007] </w:t>
      </w:r>
      <w:hyperlink r:id="rId74">
        <w:r>
          <w:rPr>
            <w:color w:val="4338CA"/>
          </w:rPr>
          <w:t>AI Data Center Energy Performance Framework: Introduction and Purpose</w:t>
        </w:r>
      </w:hyperlink>
    </w:p>
    <w:p>
      <w:pPr>
        <w:keepNext/>
      </w:pPr>
      <w:r>
        <w:rPr>
          <w:sz w:val="16"/>
        </w:rPr>
        <w:t>ASHRAE | 发布 未确认 | 检索 2026-10-15 | standard | read</w:t>
      </w:r>
    </w:p>
    <w:p>
      <w:pPr>
        <w:keepNext/>
      </w:pPr>
      <w:r>
        <w:t>证据范围 液冷W温度分类、PUE/WUE与全生命周期阶段</w:t>
      </w:r>
    </w:p>
    <w:p>
      <w:r>
        <w:t>用于 热量怎样离开机柜：液冷、建设与运维</w:t>
      </w:r>
    </w:p>
    <w:p>
      <w:pPr>
        <w:keepNext/>
      </w:pPr>
      <w:r>
        <w:rPr>
          <w:b/>
        </w:rPr>
        <w:t xml:space="preserve">[N008] </w:t>
      </w:r>
      <w:hyperlink r:id="rId76">
        <w:r>
          <w:rPr>
            <w:color w:val="4338CA"/>
          </w:rPr>
          <w:t>XDU1350 Coolant Distribution Unit Application and Planning Guide</w:t>
        </w:r>
      </w:hyperlink>
    </w:p>
    <w:p>
      <w:pPr>
        <w:keepNext/>
      </w:pPr>
      <w:r>
        <w:rPr>
          <w:sz w:val="16"/>
        </w:rPr>
        <w:t>Vertiv | 发布 未确认 | 检索 2026-10-15 | official | search-excerpt</w:t>
      </w:r>
    </w:p>
    <w:p>
      <w:pPr>
        <w:keepNext/>
      </w:pPr>
      <w:r>
        <w:t>证据范围 CDU液体监测、泵过滤、通讯、双侧环路配置</w:t>
      </w:r>
    </w:p>
    <w:p>
      <w:r>
        <w:t>用于 热量怎样离开机柜：液冷、建设与运维</w:t>
      </w:r>
    </w:p>
    <w:p>
      <w:pPr>
        <w:keepNext/>
      </w:pPr>
      <w:r>
        <w:rPr>
          <w:b/>
        </w:rPr>
        <w:t xml:space="preserve">[N009] </w:t>
      </w:r>
      <w:hyperlink r:id="rId57">
        <w:r>
          <w:rPr>
            <w:color w:val="4338CA"/>
          </w:rPr>
          <w:t>CDUs for High-Density Liquid Cooling</w:t>
        </w:r>
      </w:hyperlink>
    </w:p>
    <w:p>
      <w:pPr>
        <w:keepNext/>
      </w:pPr>
      <w:r>
        <w:rPr>
          <w:sz w:val="16"/>
        </w:rPr>
        <w:t>CoolIT | 发布 未确认 | 检索 2026-10-15 | official | search-excerpt</w:t>
      </w:r>
    </w:p>
    <w:p>
      <w:pPr>
        <w:keepNext/>
      </w:pPr>
      <w:r>
        <w:t>证据范围 液到液CDU换热器隔离技术和设施水环路</w:t>
      </w:r>
    </w:p>
    <w:p>
      <w:r>
        <w:t>用于 从电网到芯片：供电架构与材料；热量怎样离开机柜：液冷、建设与运维</w:t>
      </w:r>
    </w:p>
    <w:p>
      <w:pPr>
        <w:keepNext/>
      </w:pPr>
      <w:r>
        <w:rPr>
          <w:b/>
        </w:rPr>
        <w:t xml:space="preserve">[N010] </w:t>
      </w:r>
      <w:hyperlink r:id="rId58">
        <w:r>
          <w:rPr>
            <w:color w:val="4338CA"/>
          </w:rPr>
          <w:t>ACS Liquid Cooling Cold Plate Requirements Document</w:t>
        </w:r>
      </w:hyperlink>
    </w:p>
    <w:p>
      <w:pPr>
        <w:keepNext/>
      </w:pPr>
      <w:r>
        <w:rPr>
          <w:sz w:val="16"/>
        </w:rPr>
        <w:t>OCP | 发布 2019-10-09 | 检索 2026-10-15 | standard | read</w:t>
      </w:r>
    </w:p>
    <w:p>
      <w:pPr>
        <w:keepNext/>
      </w:pPr>
      <w:r>
        <w:t>证据范围 冷板流道、快接、接液材料、质量与可靠性要求</w:t>
      </w:r>
    </w:p>
    <w:p>
      <w:r>
        <w:t>用于 从电网到芯片：供电架构与材料；热量怎样离开机柜：液冷、建设与运维；网络与光互联企业地图、瓶颈与可证伪投资命题</w:t>
      </w:r>
    </w:p>
    <w:p>
      <w:pPr>
        <w:keepNext/>
      </w:pPr>
      <w:r>
        <w:rPr>
          <w:b/>
        </w:rPr>
        <w:t xml:space="preserve">[N011] </w:t>
      </w:r>
      <w:hyperlink r:id="rId70">
        <w:r>
          <w:rPr>
            <w:color w:val="4338CA"/>
          </w:rPr>
          <w:t>Thermal Interface Materials</w:t>
        </w:r>
      </w:hyperlink>
    </w:p>
    <w:p>
      <w:pPr>
        <w:keepNext/>
      </w:pPr>
      <w:r>
        <w:rPr>
          <w:sz w:val="16"/>
        </w:rPr>
        <w:t>Boyd | 发布 未确认 | 检索 2026-10-15 | official | search-excerpt</w:t>
      </w:r>
    </w:p>
    <w:p>
      <w:pPr>
        <w:keepNext/>
      </w:pPr>
      <w:r>
        <w:t>证据范围 TIM降低热源与散热结构接触空隙、材料选型</w:t>
      </w:r>
    </w:p>
    <w:p>
      <w:r>
        <w:t>用于 从电网到芯片：供电架构与材料；热量怎样离开机柜：液冷、建设与运维</w:t>
      </w:r>
    </w:p>
    <w:p>
      <w:pPr>
        <w:keepNext/>
      </w:pPr>
      <w:r>
        <w:rPr>
          <w:b/>
        </w:rPr>
        <w:t xml:space="preserve">[N012] </w:t>
      </w:r>
      <w:hyperlink r:id="rId61">
        <w:r>
          <w:rPr>
            <w:color w:val="4338CA"/>
          </w:rPr>
          <w:t>Eaton expands operations in Nebraska with new manufacturing facility</w:t>
        </w:r>
      </w:hyperlink>
    </w:p>
    <w:p>
      <w:pPr>
        <w:keepNext/>
      </w:pPr>
      <w:r>
        <w:rPr>
          <w:sz w:val="16"/>
        </w:rPr>
        <w:t>Eaton | 发布 2026-04-08 | 检索 2026-10-15 | official | read</w:t>
      </w:r>
    </w:p>
    <w:p>
      <w:pPr>
        <w:keepNext/>
      </w:pPr>
      <w:r>
        <w:t>证据范围 中压开关柜功能与新工厂2027H1预计投产</w:t>
      </w:r>
    </w:p>
    <w:p>
      <w:r>
        <w:t>用于 从电网到芯片：供电架构与材料；热量怎样离开机柜：液冷、建设与运维；网络与光互联企业地图、瓶颈与可证伪投资命题</w:t>
      </w:r>
    </w:p>
    <w:p>
      <w:pPr>
        <w:keepNext/>
      </w:pPr>
      <w:r>
        <w:rPr>
          <w:b/>
        </w:rPr>
        <w:t xml:space="preserve">[N013] </w:t>
      </w:r>
      <w:hyperlink r:id="rId55">
        <w:r>
          <w:rPr>
            <w:color w:val="4338CA"/>
          </w:rPr>
          <w:t>Data centers industry</w:t>
        </w:r>
      </w:hyperlink>
    </w:p>
    <w:p>
      <w:pPr>
        <w:keepNext/>
      </w:pPr>
      <w:r>
        <w:rPr>
          <w:sz w:val="16"/>
        </w:rPr>
        <w:t>Siemens | 发布 未确认 | 检索 2026-10-15 | official | read</w:t>
      </w:r>
    </w:p>
    <w:p>
      <w:pPr>
        <w:keepNext/>
      </w:pPr>
      <w:r>
        <w:t>证据范围 设施电气、冷却、消防、安全与控制系统范围</w:t>
      </w:r>
    </w:p>
    <w:p>
      <w:r>
        <w:t>用于 从电网到芯片：供电架构与材料；热量怎样离开机柜：液冷、建设与运维</w:t>
      </w:r>
    </w:p>
    <w:p>
      <w:pPr>
        <w:keepNext/>
      </w:pPr>
      <w:r>
        <w:rPr>
          <w:b/>
        </w:rPr>
        <w:t xml:space="preserve">[N014] </w:t>
      </w:r>
      <w:hyperlink r:id="rId64">
        <w:r>
          <w:rPr>
            <w:color w:val="4338CA"/>
          </w:rPr>
          <w:t>iBusway for Data Center</w:t>
        </w:r>
      </w:hyperlink>
    </w:p>
    <w:p>
      <w:pPr>
        <w:keepNext/>
      </w:pPr>
      <w:r>
        <w:rPr>
          <w:sz w:val="16"/>
        </w:rPr>
        <w:t>Schneider Electric | 发布 未确认 | 检索 2026-10-15 | official | read</w:t>
      </w:r>
    </w:p>
    <w:p>
      <w:pPr>
        <w:keepNext/>
      </w:pPr>
      <w:r>
        <w:t>证据范围 插接母线向IT机架配电与铜导体</w:t>
      </w:r>
    </w:p>
    <w:p>
      <w:r>
        <w:t>用于 从电网到芯片：供电架构与材料；热量怎样离开机柜：液冷、建设与运维</w:t>
      </w:r>
    </w:p>
    <w:p>
      <w:pPr>
        <w:keepNext/>
      </w:pPr>
      <w:r>
        <w:rPr>
          <w:b/>
        </w:rPr>
        <w:t xml:space="preserve">[N015] </w:t>
      </w:r>
      <w:hyperlink r:id="rId66">
        <w:r>
          <w:rPr>
            <w:color w:val="4338CA"/>
          </w:rPr>
          <w:t>Rack PDU: Power distribution units for server racks</w:t>
        </w:r>
      </w:hyperlink>
    </w:p>
    <w:p>
      <w:pPr>
        <w:keepNext/>
      </w:pPr>
      <w:r>
        <w:rPr>
          <w:sz w:val="16"/>
        </w:rPr>
        <w:t>Eaton | 发布 未确认 | 检索 2026-10-15 | official | search-excerpt</w:t>
      </w:r>
    </w:p>
    <w:p>
      <w:pPr>
        <w:keepNext/>
      </w:pPr>
      <w:r>
        <w:t>证据范围 机架PDU插座/输入/遥测产品角色</w:t>
      </w:r>
    </w:p>
    <w:p>
      <w:r>
        <w:t>用于 从电网到芯片：供电架构与材料</w:t>
      </w:r>
    </w:p>
    <w:p>
      <w:pPr>
        <w:keepNext/>
      </w:pPr>
      <w:r>
        <w:rPr>
          <w:b/>
        </w:rPr>
        <w:t xml:space="preserve">[N016] </w:t>
      </w:r>
      <w:hyperlink r:id="rId62">
        <w:r>
          <w:rPr>
            <w:color w:val="4338CA"/>
          </w:rPr>
          <w:t>Reliable Generators for Data Centers</w:t>
        </w:r>
      </w:hyperlink>
    </w:p>
    <w:p>
      <w:pPr>
        <w:keepNext/>
      </w:pPr>
      <w:r>
        <w:rPr>
          <w:sz w:val="16"/>
        </w:rPr>
        <w:t>Cummins | 发布 未确认 | 检索 2026-10-15 | official | search-excerpt</w:t>
      </w:r>
    </w:p>
    <w:p>
      <w:pPr>
        <w:keepNext/>
      </w:pPr>
      <w:r>
        <w:t>证据范围 备用和连续主用发电产品及项目</w:t>
      </w:r>
    </w:p>
    <w:p>
      <w:r>
        <w:t>用于 从电网到芯片：供电架构与材料</w:t>
      </w:r>
    </w:p>
    <w:p>
      <w:pPr>
        <w:keepNext/>
      </w:pPr>
      <w:r>
        <w:rPr>
          <w:b/>
        </w:rPr>
        <w:t xml:space="preserve">[N017] </w:t>
      </w:r>
      <w:hyperlink r:id="rId73">
        <w:r>
          <w:rPr>
            <w:color w:val="4338CA"/>
          </w:rPr>
          <w:t>Coolinside Full Chain Liquid Cooling Solution</w:t>
        </w:r>
      </w:hyperlink>
    </w:p>
    <w:p>
      <w:pPr>
        <w:keepNext/>
      </w:pPr>
      <w:r>
        <w:rPr>
          <w:sz w:val="16"/>
        </w:rPr>
        <w:t>Envicool | 发布 未确认 | 检索 2026-10-15 | official | search-excerpt</w:t>
      </w:r>
    </w:p>
    <w:p>
      <w:pPr>
        <w:keepNext/>
      </w:pPr>
      <w:r>
        <w:t>证据范围 冷板歧管快接CDU及液到空气方案</w:t>
      </w:r>
    </w:p>
    <w:p>
      <w:r>
        <w:t>用于 热量怎样离开机柜：液冷、建设与运维</w:t>
      </w:r>
    </w:p>
    <w:p>
      <w:pPr>
        <w:keepNext/>
      </w:pPr>
      <w:r>
        <w:rPr>
          <w:b/>
        </w:rPr>
        <w:t xml:space="preserve">[N018] </w:t>
      </w:r>
      <w:hyperlink r:id="rId71">
        <w:r>
          <w:rPr>
            <w:color w:val="4338CA"/>
          </w:rPr>
          <w:t>Kehua Presents Coordinated Computing, Power and Cooling Approach at EPIC 2026</w:t>
        </w:r>
      </w:hyperlink>
    </w:p>
    <w:p>
      <w:pPr>
        <w:keepNext/>
      </w:pPr>
      <w:r>
        <w:rPr>
          <w:sz w:val="16"/>
        </w:rPr>
        <w:t>Kehua | 发布 2026-08-17 | 检索 2026-10-15 | official | read</w:t>
      </w:r>
    </w:p>
    <w:p>
      <w:pPr>
        <w:keepNext/>
      </w:pPr>
      <w:r>
        <w:t>证据范围 Power Pod整合变压器UPS配电与厂商披露项目</w:t>
      </w:r>
    </w:p>
    <w:p>
      <w:r>
        <w:t>用于 从电网到芯片：供电架构与材料；热量怎样离开机柜：液冷、建设与运维</w:t>
      </w:r>
    </w:p>
    <w:p>
      <w:pPr>
        <w:keepNext/>
      </w:pPr>
      <w:r>
        <w:rPr>
          <w:b/>
        </w:rPr>
        <w:t xml:space="preserve">[N019] </w:t>
      </w:r>
      <w:hyperlink r:id="rId56">
        <w:r>
          <w:rPr>
            <w:color w:val="4338CA"/>
          </w:rPr>
          <w:t>FusionPower6000-G 3.0 Huawei PowerPOD User Manual</w:t>
        </w:r>
      </w:hyperlink>
    </w:p>
    <w:p>
      <w:pPr>
        <w:keepNext/>
      </w:pPr>
      <w:r>
        <w:rPr>
          <w:sz w:val="16"/>
        </w:rPr>
        <w:t>Huawei | 发布 2026-07-25 | 检索 2026-10-15 | official | search-excerpt</w:t>
      </w:r>
    </w:p>
    <w:p>
      <w:pPr>
        <w:keepNext/>
      </w:pPr>
      <w:r>
        <w:t>证据范围 低压输入柜UPS旁路馈线柜与机房电气边界</w:t>
      </w:r>
    </w:p>
    <w:p>
      <w:r>
        <w:t>用于 从电网到芯片：供电架构与材料；热量怎样离开机柜：液冷、建设与运维</w:t>
      </w:r>
    </w:p>
    <w:p>
      <w:pPr>
        <w:keepNext/>
      </w:pPr>
      <w:r>
        <w:rPr>
          <w:b/>
        </w:rPr>
        <w:t xml:space="preserve">[N020] </w:t>
      </w:r>
      <w:hyperlink r:id="rId72">
        <w:r>
          <w:rPr>
            <w:color w:val="4338CA"/>
          </w:rPr>
          <w:t>Minutes of 2025 AGM</w:t>
        </w:r>
      </w:hyperlink>
    </w:p>
    <w:p>
      <w:pPr>
        <w:keepNext/>
      </w:pPr>
      <w:r>
        <w:rPr>
          <w:sz w:val="16"/>
        </w:rPr>
        <w:t>Delta | 发布 2025-05-29 | 检索 2026-10-15 | official | search-excerpt</w:t>
      </w:r>
    </w:p>
    <w:p>
      <w:pPr>
        <w:keepNext/>
      </w:pPr>
      <w:r>
        <w:t>证据范围 液冷模块CDU与磁性材料业务，厂商披露生产阶段</w:t>
      </w:r>
    </w:p>
    <w:p>
      <w:r>
        <w:t>用于 从电网到芯片：供电架构与材料；热量怎样离开机柜：液冷、建设与运维</w:t>
      </w:r>
    </w:p>
    <w:p>
      <w:pPr>
        <w:keepNext/>
      </w:pPr>
      <w:r>
        <w:rPr>
          <w:b/>
        </w:rPr>
        <w:t xml:space="preserve">[N021] </w:t>
      </w:r>
      <w:hyperlink r:id="rId38">
        <w:r>
          <w:rPr>
            <w:color w:val="4338CA"/>
          </w:rPr>
          <w:t>DGX GB Rack Scale Systems User Guide: Networking</w:t>
        </w:r>
      </w:hyperlink>
    </w:p>
    <w:p>
      <w:pPr>
        <w:keepNext/>
      </w:pPr>
      <w:r>
        <w:rPr>
          <w:sz w:val="16"/>
        </w:rPr>
        <w:t>NVIDIA | 发布 未确认 | 检索 2026-10-15 | official | read</w:t>
      </w:r>
    </w:p>
    <w:p>
      <w:pPr>
        <w:keepNext/>
      </w:pPr>
      <w:r>
        <w:t>证据范围 NVLink机架内scale-up与IB/Ethernet机架间scale-out</w:t>
      </w:r>
    </w:p>
    <w:p>
      <w:r>
        <w:t>用于 全景图与系统连接；数据怎样移动：机内、机架、集群与跨中心网络；网络与光互联企业地图、瓶颈与可证伪投资命题</w:t>
      </w:r>
    </w:p>
    <w:p>
      <w:pPr>
        <w:keepNext/>
      </w:pPr>
      <w:r>
        <w:rPr>
          <w:b/>
        </w:rPr>
        <w:t xml:space="preserve">[N022] </w:t>
      </w:r>
      <w:hyperlink r:id="rId39">
        <w:r>
          <w:rPr>
            <w:color w:val="4338CA"/>
          </w:rPr>
          <w:t>AI Network Fabric Deployment Guide</w:t>
        </w:r>
      </w:hyperlink>
    </w:p>
    <w:p>
      <w:pPr>
        <w:keepNext/>
      </w:pPr>
      <w:r>
        <w:rPr>
          <w:sz w:val="16"/>
        </w:rPr>
        <w:t>Arista | 发布 未确认 | 检索 2026-10-15 | official | read</w:t>
      </w:r>
    </w:p>
    <w:p>
      <w:pPr>
        <w:keepNext/>
      </w:pPr>
      <w:r>
        <w:t>证据范围 RoCEv2 leaf-spine拓扑、配置和验证方法</w:t>
      </w:r>
    </w:p>
    <w:p>
      <w:r>
        <w:t>用于 全景图与系统连接；数据怎样移动：机内、机架、集群与跨中心网络；把一条光链路拆到材料、晶圆、装配与测试；网络与光互联企业地图、瓶颈与可证伪投资命题</w:t>
      </w:r>
    </w:p>
    <w:p>
      <w:pPr>
        <w:keepNext/>
      </w:pPr>
      <w:r>
        <w:rPr>
          <w:b/>
        </w:rPr>
        <w:t xml:space="preserve">[N023] </w:t>
      </w:r>
      <w:hyperlink r:id="rId92">
        <w:r>
          <w:rPr>
            <w:color w:val="4338CA"/>
          </w:rPr>
          <w:t>Specification History</w:t>
        </w:r>
      </w:hyperlink>
    </w:p>
    <w:p>
      <w:pPr>
        <w:keepNext/>
      </w:pPr>
      <w:r>
        <w:rPr>
          <w:sz w:val="16"/>
        </w:rPr>
        <w:t>Ultra Ethernet Consortium | 发布 未确认 | 检索 2026-10-15 | standard | read</w:t>
      </w:r>
    </w:p>
    <w:p>
      <w:pPr>
        <w:keepNext/>
      </w:pPr>
      <w:r>
        <w:t>证据范围 UEC1.0于2025-06-11与1.1于2026-10-12发布</w:t>
      </w:r>
    </w:p>
    <w:p>
      <w:r>
        <w:t>用于 数据怎样移动：机内、机架、集群与跨中心网络；把一条光链路拆到材料、晶圆、装配与测试</w:t>
      </w:r>
    </w:p>
    <w:p>
      <w:pPr>
        <w:keepNext/>
      </w:pPr>
      <w:r>
        <w:rPr>
          <w:b/>
        </w:rPr>
        <w:t xml:space="preserve">[N024] </w:t>
      </w:r>
      <w:hyperlink r:id="rId40">
        <w:r>
          <w:rPr>
            <w:color w:val="4338CA"/>
          </w:rPr>
          <w:t>About UALink</w:t>
        </w:r>
      </w:hyperlink>
    </w:p>
    <w:p>
      <w:pPr>
        <w:keepNext/>
      </w:pPr>
      <w:r>
        <w:rPr>
          <w:sz w:val="16"/>
        </w:rPr>
        <w:t>UALink Consortium | 发布 未确认 | 检索 2026-10-15 | standard | read</w:t>
      </w:r>
    </w:p>
    <w:p>
      <w:pPr>
        <w:keepNext/>
      </w:pPr>
      <w:r>
        <w:t>证据范围 开放scale-up协议1.0于2025-04公开</w:t>
      </w:r>
    </w:p>
    <w:p>
      <w:r>
        <w:t>用于 全景图与系统连接；数据怎样移动：机内、机架、集群与跨中心网络</w:t>
      </w:r>
    </w:p>
    <w:p>
      <w:pPr>
        <w:keepNext/>
      </w:pPr>
      <w:r>
        <w:rPr>
          <w:b/>
        </w:rPr>
        <w:t xml:space="preserve">[N025] </w:t>
      </w:r>
      <w:hyperlink r:id="rId44">
        <w:r>
          <w:rPr>
            <w:color w:val="4338CA"/>
          </w:rPr>
          <w:t>PCIe 7.0 Specification Version 1.0 Now Available to Members</w:t>
        </w:r>
      </w:hyperlink>
    </w:p>
    <w:p>
      <w:pPr>
        <w:keepNext/>
      </w:pPr>
      <w:r>
        <w:rPr>
          <w:sz w:val="16"/>
        </w:rPr>
        <w:t>PCI-SIG | 发布 2025-06-11 | 检索 2026-10-15 | standard | read</w:t>
      </w:r>
    </w:p>
    <w:p>
      <w:pPr>
        <w:keepNext/>
      </w:pPr>
      <w:r>
        <w:t>证据范围 PCIe7.0 128GT/s规格发布，不等于产品普及</w:t>
      </w:r>
    </w:p>
    <w:p>
      <w:r>
        <w:t>用于 全景图与系统连接；数据怎样移动：机内、机架、集群与跨中心网络</w:t>
      </w:r>
    </w:p>
    <w:p>
      <w:pPr>
        <w:keepNext/>
      </w:pPr>
      <w:r>
        <w:rPr>
          <w:b/>
        </w:rPr>
        <w:t xml:space="preserve">[N026] </w:t>
      </w:r>
      <w:hyperlink r:id="rId45">
        <w:r>
          <w:rPr>
            <w:color w:val="4338CA"/>
          </w:rPr>
          <w:t>CXL Consortium Releases the CXL 4.0 Specification</w:t>
        </w:r>
      </w:hyperlink>
    </w:p>
    <w:p>
      <w:pPr>
        <w:keepNext/>
      </w:pPr>
      <w:r>
        <w:rPr>
          <w:sz w:val="16"/>
        </w:rPr>
        <w:t>CXL Consortium | 发布 2025-11-18 | 检索 2026-10-15 | standard | read</w:t>
      </w:r>
    </w:p>
    <w:p>
      <w:pPr>
        <w:keepNext/>
      </w:pPr>
      <w:r>
        <w:t>证据范围 CXL4.0于2025-11-18发布与内存互连技术边界</w:t>
      </w:r>
    </w:p>
    <w:p>
      <w:r>
        <w:t>用于 全景图与系统连接；数据怎样移动：机内、机架、集群与跨中心网络</w:t>
      </w:r>
    </w:p>
    <w:p>
      <w:pPr>
        <w:keepNext/>
      </w:pPr>
      <w:r>
        <w:rPr>
          <w:b/>
        </w:rPr>
        <w:t xml:space="preserve">[N027] </w:t>
      </w:r>
      <w:hyperlink r:id="rId85">
        <w:r>
          <w:rPr>
            <w:color w:val="4338CA"/>
          </w:rPr>
          <w:t>BlueField-3 Networking Platform Introduction</w:t>
        </w:r>
      </w:hyperlink>
    </w:p>
    <w:p>
      <w:pPr>
        <w:keepNext/>
      </w:pPr>
      <w:r>
        <w:rPr>
          <w:sz w:val="16"/>
        </w:rPr>
        <w:t>NVIDIA | 发布 未确认 | 检索 2026-10-15 | official | search-excerpt</w:t>
      </w:r>
    </w:p>
    <w:p>
      <w:pPr>
        <w:keepNext/>
      </w:pPr>
      <w:r>
        <w:t>证据范围 DPU卸载隔离网络存储安全与管理</w:t>
      </w:r>
    </w:p>
    <w:p>
      <w:r>
        <w:t>用于 数据怎样移动：机内、机架、集群与跨中心网络；网络与光互联企业地图、瓶颈与可证伪投资命题；计算架构与芯片设计</w:t>
      </w:r>
    </w:p>
    <w:p>
      <w:pPr>
        <w:keepNext/>
      </w:pPr>
      <w:r>
        <w:rPr>
          <w:b/>
        </w:rPr>
        <w:t xml:space="preserve">[N028] </w:t>
      </w:r>
      <w:hyperlink r:id="rId91">
        <w:r>
          <w:rPr>
            <w:color w:val="4338CA"/>
          </w:rPr>
          <w:t>Aries PCIe/CXL Smart DSP Retimers</w:t>
        </w:r>
      </w:hyperlink>
    </w:p>
    <w:p>
      <w:pPr>
        <w:keepNext/>
      </w:pPr>
      <w:r>
        <w:rPr>
          <w:sz w:val="16"/>
        </w:rPr>
        <w:t>Astera Labs | 发布 未确认 | 检索 2026-10-15 | official | search-excerpt</w:t>
      </w:r>
    </w:p>
    <w:p>
      <w:pPr>
        <w:keepNext/>
      </w:pPr>
      <w:r>
        <w:t>证据范围 PCIe6.x/CXL3.x重定时器延伸电连接</w:t>
      </w:r>
    </w:p>
    <w:p>
      <w:r>
        <w:t>用于 数据怎样移动：机内、机架、集群与跨中心网络；网络与光互联企业地图、瓶颈与可证伪投资命题</w:t>
      </w:r>
    </w:p>
    <w:p>
      <w:pPr>
        <w:keepNext/>
      </w:pPr>
      <w:r>
        <w:rPr>
          <w:b/>
        </w:rPr>
        <w:t xml:space="preserve">[N029] </w:t>
      </w:r>
      <w:hyperlink r:id="rId107">
        <w:r>
          <w:rPr>
            <w:color w:val="4338CA"/>
          </w:rPr>
          <w:t>HiWire 345Tb DDC Solution Brief</w:t>
        </w:r>
      </w:hyperlink>
    </w:p>
    <w:p>
      <w:pPr>
        <w:keepNext/>
      </w:pPr>
      <w:r>
        <w:rPr>
          <w:sz w:val="16"/>
        </w:rPr>
        <w:t>Credo | 发布 未确认 | 检索 2026-10-15 | official | search-excerpt</w:t>
      </w:r>
    </w:p>
    <w:p>
      <w:pPr>
        <w:keepNext/>
      </w:pPr>
      <w:r>
        <w:t>证据范围 AEC、Retimer、Optical DSP、SerDes/IP产品角色</w:t>
      </w:r>
    </w:p>
    <w:p>
      <w:r>
        <w:t>用于 把一条光链路拆到材料、晶圆、装配与测试；网络与光互联企业地图、瓶颈与可证伪投资命题</w:t>
      </w:r>
    </w:p>
    <w:p>
      <w:pPr>
        <w:keepNext/>
      </w:pPr>
      <w:r>
        <w:rPr>
          <w:b/>
        </w:rPr>
        <w:t xml:space="preserve">[N030] </w:t>
      </w:r>
      <w:hyperlink r:id="rId99">
        <w:r>
          <w:rPr>
            <w:color w:val="4338CA"/>
          </w:rPr>
          <w:t>FiberEdge and DirectEdge Signal Integrity Technology</w:t>
        </w:r>
      </w:hyperlink>
    </w:p>
    <w:p>
      <w:pPr>
        <w:keepNext/>
      </w:pPr>
      <w:r>
        <w:rPr>
          <w:sz w:val="16"/>
        </w:rPr>
        <w:t>Semtech | 发布 未确认 | 检索 2026-10-15 | official | search-excerpt</w:t>
      </w:r>
    </w:p>
    <w:p>
      <w:pPr>
        <w:keepNext/>
      </w:pPr>
      <w:r>
        <w:t>证据范围 TIA和激光驱动、LPO模拟PMD产品</w:t>
      </w:r>
    </w:p>
    <w:p>
      <w:r>
        <w:t>用于 数据怎样移动：机内、机架、集群与跨中心网络；把一条光链路拆到材料、晶圆、装配与测试；网络与光互联企业地图、瓶颈与可证伪投资命题</w:t>
      </w:r>
    </w:p>
    <w:p>
      <w:pPr>
        <w:keepNext/>
      </w:pPr>
      <w:r>
        <w:rPr>
          <w:b/>
        </w:rPr>
        <w:t xml:space="preserve">[N031] </w:t>
      </w:r>
      <w:hyperlink r:id="rId97">
        <w:r>
          <w:rPr>
            <w:color w:val="4338CA"/>
          </w:rPr>
          <w:t>CopperEdge Signal Integrity Technology</w:t>
        </w:r>
      </w:hyperlink>
    </w:p>
    <w:p>
      <w:pPr>
        <w:keepNext/>
      </w:pPr>
      <w:r>
        <w:rPr>
          <w:sz w:val="16"/>
        </w:rPr>
        <w:t>Semtech | 发布 未确认 | 检索 2026-10-15 | official | search-excerpt</w:t>
      </w:r>
    </w:p>
    <w:p>
      <w:pPr>
        <w:keepNext/>
      </w:pPr>
      <w:r>
        <w:t>证据范围 ACC模拟均衡与铜缆距离依具体链路</w:t>
      </w:r>
    </w:p>
    <w:p>
      <w:r>
        <w:t>用于 数据怎样移动：机内、机架、集群与跨中心网络；网络与光互联企业地图、瓶颈与可证伪投资命题</w:t>
      </w:r>
    </w:p>
    <w:p>
      <w:pPr>
        <w:keepNext/>
      </w:pPr>
      <w:r>
        <w:rPr>
          <w:b/>
        </w:rPr>
        <w:t xml:space="preserve">[N032] </w:t>
      </w:r>
      <w:hyperlink r:id="rId108">
        <w:r>
          <w:rPr>
            <w:color w:val="4338CA"/>
          </w:rPr>
          <w:t>Broadcom Delivers First 51.2Tbps CPO Ethernet Switch Platform</w:t>
        </w:r>
      </w:hyperlink>
    </w:p>
    <w:p>
      <w:pPr>
        <w:keepNext/>
      </w:pPr>
      <w:r>
        <w:rPr>
          <w:sz w:val="16"/>
        </w:rPr>
        <w:t>Broadcom | 发布 2024-03-26 | 检索 2026-10-15 | official | search-excerpt</w:t>
      </w:r>
    </w:p>
    <w:p>
      <w:pPr>
        <w:keepNext/>
      </w:pPr>
      <w:r>
        <w:t>证据范围 Bailly CPO制造封装与光纤装配厂商宣称</w:t>
      </w:r>
    </w:p>
    <w:p>
      <w:r>
        <w:t>用于 把一条光链路拆到材料、晶圆、装配与测试；网络与光互联企业地图、瓶颈与可证伪投资命题</w:t>
      </w:r>
    </w:p>
    <w:p>
      <w:pPr>
        <w:keepNext/>
      </w:pPr>
      <w:r>
        <w:rPr>
          <w:b/>
        </w:rPr>
        <w:t xml:space="preserve">[N033] </w:t>
      </w:r>
      <w:hyperlink r:id="rId103">
        <w:r>
          <w:rPr>
            <w:color w:val="4338CA"/>
          </w:rPr>
          <w:t>EMLs</w:t>
        </w:r>
      </w:hyperlink>
    </w:p>
    <w:p>
      <w:pPr>
        <w:keepNext/>
      </w:pPr>
      <w:r>
        <w:rPr>
          <w:sz w:val="16"/>
        </w:rPr>
        <w:t>Lumentum | 发布 未确认 | 检索 2026-10-15 | official | read</w:t>
      </w:r>
    </w:p>
    <w:p>
      <w:pPr>
        <w:keepNext/>
      </w:pPr>
      <w:r>
        <w:t>证据范围 InP EML的DFB与EAM集成，内部晶圆厂</w:t>
      </w:r>
    </w:p>
    <w:p>
      <w:r>
        <w:t>用于 把一条光链路拆到材料、晶圆、装配与测试；网络与光互联企业地图、瓶颈与可证伪投资命题</w:t>
      </w:r>
    </w:p>
    <w:p>
      <w:pPr>
        <w:keepNext/>
      </w:pPr>
      <w:r>
        <w:rPr>
          <w:b/>
        </w:rPr>
        <w:t xml:space="preserve">[N034] </w:t>
      </w:r>
      <w:hyperlink r:id="rId105">
        <w:r>
          <w:rPr>
            <w:color w:val="4338CA"/>
          </w:rPr>
          <w:t>UHP Laser Sources for CPO</w:t>
        </w:r>
      </w:hyperlink>
    </w:p>
    <w:p>
      <w:pPr>
        <w:keepNext/>
      </w:pPr>
      <w:r>
        <w:rPr>
          <w:sz w:val="16"/>
        </w:rPr>
        <w:t>Lumentum | 发布 未确认 | 检索 2026-10-15 | official | read</w:t>
      </w:r>
    </w:p>
    <w:p>
      <w:pPr>
        <w:keepNext/>
      </w:pPr>
      <w:r>
        <w:t>证据范围 InP CW激光与ELSFP外置可维修光源</w:t>
      </w:r>
    </w:p>
    <w:p>
      <w:r>
        <w:t>用于 把一条光链路拆到材料、晶圆、装配与测试；网络与光互联企业地图、瓶颈与可证伪投资命题</w:t>
      </w:r>
    </w:p>
    <w:p>
      <w:pPr>
        <w:keepNext/>
      </w:pPr>
      <w:r>
        <w:rPr>
          <w:b/>
        </w:rPr>
        <w:t xml:space="preserve">[N035] </w:t>
      </w:r>
      <w:hyperlink r:id="rId150">
        <w:r>
          <w:rPr>
            <w:color w:val="4338CA"/>
          </w:rPr>
          <w:t>Lumentum Showcases Next-Generation InP Chip Solutions at OFC2025</w:t>
        </w:r>
      </w:hyperlink>
    </w:p>
    <w:p>
      <w:pPr>
        <w:keepNext/>
      </w:pPr>
      <w:r>
        <w:rPr>
          <w:sz w:val="16"/>
        </w:rPr>
        <w:t>Lumentum | 发布 未确认 | 检索 2026-10-15 | official | search-excerpt</w:t>
      </w:r>
    </w:p>
    <w:p>
      <w:pPr>
        <w:keepNext/>
      </w:pPr>
      <w:r>
        <w:t>证据范围 200G/lane DD EML技术论文与NVIDIA生态伙伴披露</w:t>
      </w:r>
    </w:p>
    <w:p>
      <w:r>
        <w:t>用于 网络与光互联企业地图、瓶颈与可证伪投资命题</w:t>
      </w:r>
    </w:p>
    <w:p>
      <w:pPr>
        <w:keepNext/>
      </w:pPr>
      <w:r>
        <w:rPr>
          <w:b/>
        </w:rPr>
        <w:t xml:space="preserve">[N036] </w:t>
      </w:r>
      <w:hyperlink r:id="rId106">
        <w:r>
          <w:rPr>
            <w:color w:val="4338CA"/>
          </w:rPr>
          <w:t>Silicon photonics technology</w:t>
        </w:r>
      </w:hyperlink>
    </w:p>
    <w:p>
      <w:pPr>
        <w:keepNext/>
      </w:pPr>
      <w:r>
        <w:rPr>
          <w:sz w:val="16"/>
        </w:rPr>
        <w:t>GlobalFoundries | 发布 未确认 | 检索 2026-10-15 | official | read</w:t>
      </w:r>
    </w:p>
    <w:p>
      <w:pPr>
        <w:keepNext/>
      </w:pPr>
      <w:r>
        <w:t>证据范围 200/300mm硅光制造PDK、电子光子封装与光纤连接</w:t>
      </w:r>
    </w:p>
    <w:p>
      <w:r>
        <w:t>用于 把一条光链路拆到材料、晶圆、装配与测试；网络与光互联企业地图、瓶颈与可证伪投资命题</w:t>
      </w:r>
    </w:p>
    <w:p>
      <w:pPr>
        <w:keepNext/>
      </w:pPr>
      <w:r>
        <w:rPr>
          <w:b/>
        </w:rPr>
        <w:t xml:space="preserve">[N037] </w:t>
      </w:r>
      <w:hyperlink r:id="rId110">
        <w:r>
          <w:rPr>
            <w:color w:val="4338CA"/>
          </w:rPr>
          <w:t>In-Package Optical IO Unleashing Innovation</w:t>
        </w:r>
      </w:hyperlink>
    </w:p>
    <w:p>
      <w:pPr>
        <w:keepNext/>
      </w:pPr>
      <w:r>
        <w:rPr>
          <w:sz w:val="16"/>
        </w:rPr>
        <w:t>Ayar Labs | 发布 未确认 | 检索 2026-10-15 | official | read</w:t>
      </w:r>
    </w:p>
    <w:p>
      <w:pPr>
        <w:keepNext/>
      </w:pPr>
      <w:r>
        <w:t>证据范围 TeraPHY光IO chiplet与SuperNova多波长光源</w:t>
      </w:r>
    </w:p>
    <w:p>
      <w:r>
        <w:t>用于 把一条光链路拆到材料、晶圆、装配与测试；网络与光互联企业地图、瓶颈与可证伪投资命题；计算架构与芯片设计</w:t>
      </w:r>
    </w:p>
    <w:p>
      <w:pPr>
        <w:keepNext/>
      </w:pPr>
      <w:r>
        <w:rPr>
          <w:b/>
        </w:rPr>
        <w:t xml:space="preserve">[N038] </w:t>
      </w:r>
      <w:hyperlink r:id="rId140">
        <w:r>
          <w:rPr>
            <w:color w:val="4338CA"/>
          </w:rPr>
          <w:t>SILITH Showcases 400G/lane Silicon Photonics Platform at OFC2026</w:t>
        </w:r>
      </w:hyperlink>
    </w:p>
    <w:p>
      <w:pPr>
        <w:keepNext/>
      </w:pPr>
      <w:r>
        <w:rPr>
          <w:sz w:val="16"/>
        </w:rPr>
        <w:t>SILITH | 发布 2026-03-18 | 检索 2026-10-15 | official | search-excerpt</w:t>
      </w:r>
    </w:p>
    <w:p>
      <w:pPr>
        <w:keepNext/>
      </w:pPr>
      <w:r>
        <w:t xml:space="preserve">证据范围 400G/lane收发构件展示；证据范围限于公开摘要</w:t>
      </w:r>
    </w:p>
    <w:p>
      <w:r>
        <w:t>用于 网络与光互联企业地图、瓶颈与可证伪投资命题</w:t>
      </w:r>
    </w:p>
    <w:p>
      <w:pPr>
        <w:keepNext/>
      </w:pPr>
      <w:r>
        <w:rPr>
          <w:b/>
        </w:rPr>
        <w:t xml:space="preserve">[N039] </w:t>
      </w:r>
      <w:hyperlink r:id="rId111">
        <w:r>
          <w:rPr>
            <w:color w:val="4338CA"/>
          </w:rPr>
          <w:t>Datacom Innovation in the AI Era</w:t>
        </w:r>
      </w:hyperlink>
    </w:p>
    <w:p>
      <w:pPr>
        <w:keepNext/>
      </w:pPr>
      <w:r>
        <w:rPr>
          <w:sz w:val="16"/>
        </w:rPr>
        <w:t>Coherent | 发布 未确认 | 检索 2026-10-15 | official | read</w:t>
      </w:r>
    </w:p>
    <w:p>
      <w:pPr>
        <w:keepNext/>
      </w:pPr>
      <w:r>
        <w:t>证据范围 GaAs VCSEL与InP激光晶圆平台</w:t>
      </w:r>
    </w:p>
    <w:p>
      <w:r>
        <w:t>用于 把一条光链路拆到材料、晶圆、装配与测试；网络与光互联企业地图、瓶颈与可证伪投资命题</w:t>
      </w:r>
    </w:p>
    <w:p>
      <w:pPr>
        <w:keepNext/>
      </w:pPr>
      <w:r>
        <w:rPr>
          <w:b/>
        </w:rPr>
        <w:t xml:space="preserve">[N040] </w:t>
      </w:r>
      <w:hyperlink r:id="rId112">
        <w:r>
          <w:rPr>
            <w:color w:val="4338CA"/>
          </w:rPr>
          <w:t>Significant Advancement in VCSEL Performance for Next-Gen AI Networks</w:t>
        </w:r>
      </w:hyperlink>
    </w:p>
    <w:p>
      <w:pPr>
        <w:keepNext/>
      </w:pPr>
      <w:r>
        <w:rPr>
          <w:sz w:val="16"/>
        </w:rPr>
        <w:t>Coherent | 发布 未确认 | 检索 2026-10-15 | official | read</w:t>
      </w:r>
    </w:p>
    <w:p>
      <w:pPr>
        <w:keepNext/>
      </w:pPr>
      <w:r>
        <w:t>证据范围 氧化孔径VCSEL与200G/lane发展方向</w:t>
      </w:r>
    </w:p>
    <w:p>
      <w:r>
        <w:t>用于 把一条光链路拆到材料、晶圆、装配与测试</w:t>
      </w:r>
    </w:p>
    <w:p>
      <w:pPr>
        <w:keepNext/>
      </w:pPr>
      <w:r>
        <w:rPr>
          <w:b/>
        </w:rPr>
        <w:t xml:space="preserve">[N041] </w:t>
      </w:r>
      <w:hyperlink r:id="rId119">
        <w:r>
          <w:rPr>
            <w:color w:val="4338CA"/>
          </w:rPr>
          <w:t>MOCVD Technology</w:t>
        </w:r>
      </w:hyperlink>
    </w:p>
    <w:p>
      <w:pPr>
        <w:keepNext/>
      </w:pPr>
      <w:r>
        <w:rPr>
          <w:sz w:val="16"/>
        </w:rPr>
        <w:t>AIXTRON | 发布 未确认 | 检索 2026-10-15 | official | read</w:t>
      </w:r>
    </w:p>
    <w:p>
      <w:pPr>
        <w:keepNext/>
      </w:pPr>
      <w:r>
        <w:t>证据范围 金属有机化学气相沉积生长单晶薄膜</w:t>
      </w:r>
    </w:p>
    <w:p>
      <w:r>
        <w:t>用于 把一条光链路拆到材料、晶圆、装配与测试；网络与光互联企业地图、瓶颈与可证伪投资命题</w:t>
      </w:r>
    </w:p>
    <w:p>
      <w:pPr>
        <w:keepNext/>
      </w:pPr>
      <w:r>
        <w:rPr>
          <w:b/>
        </w:rPr>
        <w:t xml:space="preserve">[N042] </w:t>
      </w:r>
      <w:hyperlink r:id="rId121">
        <w:r>
          <w:rPr>
            <w:color w:val="4338CA"/>
          </w:rPr>
          <w:t>Photonics assembly and testing From Lab to Fab</w:t>
        </w:r>
      </w:hyperlink>
    </w:p>
    <w:p>
      <w:pPr>
        <w:keepNext/>
      </w:pPr>
      <w:r>
        <w:rPr>
          <w:sz w:val="16"/>
        </w:rPr>
        <w:t>ficonTEC | 发布 未确认 | 检索 2026-10-15 | official | read</w:t>
      </w:r>
    </w:p>
    <w:p>
      <w:pPr>
        <w:keepNext/>
      </w:pPr>
      <w:r>
        <w:t>证据范围 多轴亚微米对准固化焊接及测试良率周期要求</w:t>
      </w:r>
    </w:p>
    <w:p>
      <w:r>
        <w:t>用于 把一条光链路拆到材料、晶圆、装配与测试；网络与光互联企业地图、瓶颈与可证伪投资命题</w:t>
      </w:r>
    </w:p>
    <w:p>
      <w:pPr>
        <w:keepNext/>
      </w:pPr>
      <w:r>
        <w:rPr>
          <w:b/>
        </w:rPr>
        <w:t xml:space="preserve">[N043] </w:t>
      </w:r>
      <w:hyperlink r:id="rId122">
        <w:r>
          <w:rPr>
            <w:color w:val="4338CA"/>
          </w:rPr>
          <w:t>PINovAlign Automated Photonics Alignment System</w:t>
        </w:r>
      </w:hyperlink>
    </w:p>
    <w:p>
      <w:pPr>
        <w:keepNext/>
      </w:pPr>
      <w:r>
        <w:rPr>
          <w:sz w:val="16"/>
        </w:rPr>
        <w:t>PI | 发布 未确认 | 检索 2026-10-15 | official | read</w:t>
      </w:r>
    </w:p>
    <w:p>
      <w:pPr>
        <w:keepNext/>
      </w:pPr>
      <w:r>
        <w:t>证据范围 全自动6DOF光学对准，证明多轴不是某一厂商独有</w:t>
      </w:r>
    </w:p>
    <w:p>
      <w:r>
        <w:t>用于 把一条光链路拆到材料、晶圆、装配与测试；网络与光互联企业地图、瓶颈与可证伪投资命题</w:t>
      </w:r>
    </w:p>
    <w:p>
      <w:pPr>
        <w:keepNext/>
      </w:pPr>
      <w:r>
        <w:rPr>
          <w:b/>
        </w:rPr>
        <w:t xml:space="preserve">[N044] </w:t>
      </w:r>
      <w:hyperlink r:id="rId120">
        <w:r>
          <w:rPr>
            <w:color w:val="4338CA"/>
          </w:rPr>
          <w:t>NX5402A Silicon Photonics Wafer Test System</w:t>
        </w:r>
      </w:hyperlink>
    </w:p>
    <w:p>
      <w:pPr>
        <w:keepNext/>
      </w:pPr>
      <w:r>
        <w:rPr>
          <w:sz w:val="16"/>
        </w:rPr>
        <w:t>Keysight | 发布 未确认 | 检索 2026-10-15 | official | read</w:t>
      </w:r>
    </w:p>
    <w:p>
      <w:pPr>
        <w:keepNext/>
      </w:pPr>
      <w:r>
        <w:t>证据范围 晶圆级光电联合自动测试与校准</w:t>
      </w:r>
    </w:p>
    <w:p>
      <w:r>
        <w:t>用于 把一条光链路拆到材料、晶圆、装配与测试；网络与光互联企业地图、瓶颈与可证伪投资命题</w:t>
      </w:r>
    </w:p>
    <w:p>
      <w:pPr>
        <w:keepNext/>
      </w:pPr>
      <w:r>
        <w:rPr>
          <w:b/>
        </w:rPr>
        <w:t xml:space="preserve">[N045] </w:t>
      </w:r>
      <w:hyperlink r:id="rId79">
        <w:r>
          <w:rPr>
            <w:color w:val="4338CA"/>
          </w:rPr>
          <w:t>OEM Core Products Guide</w:t>
        </w:r>
      </w:hyperlink>
    </w:p>
    <w:p>
      <w:pPr>
        <w:keepNext/>
      </w:pPr>
      <w:r>
        <w:rPr>
          <w:sz w:val="16"/>
        </w:rPr>
        <w:t>Corning | 发布 未确认 | 检索 2026-10-15 | official | search-excerpt</w:t>
      </w:r>
    </w:p>
    <w:p>
      <w:pPr>
        <w:keepNext/>
      </w:pPr>
      <w:r>
        <w:t>证据范围 高精度氧化锆插芯与光纤连接器</w:t>
      </w:r>
    </w:p>
    <w:p>
      <w:r>
        <w:t>用于 热量怎样离开机柜：液冷、建设与运维；数据怎样移动：机内、机架、集群与跨中心网络；把一条光链路拆到材料、晶圆、装配与测试；网络与光互联企业地图、瓶颈与可证伪投资命题</w:t>
      </w:r>
    </w:p>
    <w:p>
      <w:pPr>
        <w:keepNext/>
      </w:pPr>
      <w:r>
        <w:rPr>
          <w:b/>
        </w:rPr>
        <w:t xml:space="preserve">[N046] </w:t>
      </w:r>
      <w:hyperlink r:id="rId93">
        <w:r>
          <w:rPr>
            <w:color w:val="4338CA"/>
          </w:rPr>
          <w:t>DCI and scale-across networks</w:t>
        </w:r>
      </w:hyperlink>
    </w:p>
    <w:p>
      <w:pPr>
        <w:keepNext/>
      </w:pPr>
      <w:r>
        <w:rPr>
          <w:sz w:val="16"/>
        </w:rPr>
        <w:t>Ciena | 发布 未确认 | 检索 2026-10-15 | official | read</w:t>
      </w:r>
    </w:p>
    <w:p>
      <w:pPr>
        <w:keepNext/>
      </w:pPr>
      <w:r>
        <w:t>证据范围 DCI相干模块、光线路系统、metro backbone与submarine</w:t>
      </w:r>
    </w:p>
    <w:p>
      <w:r>
        <w:t>用于 数据怎样移动：机内、机架、集群与跨中心网络；把一条光链路拆到材料、晶圆、装配与测试；网络与光互联企业地图、瓶颈与可证伪投资命题</w:t>
      </w:r>
    </w:p>
    <w:p>
      <w:pPr>
        <w:keepNext/>
      </w:pPr>
      <w:r>
        <w:rPr>
          <w:b/>
        </w:rPr>
        <w:t xml:space="preserve">[N047] </w:t>
      </w:r>
      <w:hyperlink r:id="rId90">
        <w:r>
          <w:rPr>
            <w:color w:val="4338CA"/>
          </w:rPr>
          <w:t>ELSFP Implementation Agreement 2.0</w:t>
        </w:r>
      </w:hyperlink>
    </w:p>
    <w:p>
      <w:pPr>
        <w:keepNext/>
      </w:pPr>
      <w:r>
        <w:rPr>
          <w:sz w:val="16"/>
        </w:rPr>
        <w:t>OIF | 发布 未确认 | 检索 2026-10-15 | standard | search-excerpt</w:t>
      </w:r>
    </w:p>
    <w:p>
      <w:pPr>
        <w:keepNext/>
      </w:pPr>
      <w:r>
        <w:t>证据范围 可插拔外置激光源接口标准</w:t>
      </w:r>
    </w:p>
    <w:p>
      <w:r>
        <w:t>用于 数据怎样移动：机内、机架、集群与跨中心网络；把一条光链路拆到材料、晶圆、装配与测试</w:t>
      </w:r>
    </w:p>
    <w:p>
      <w:pPr>
        <w:keepNext/>
      </w:pPr>
      <w:r>
        <w:rPr>
          <w:b/>
        </w:rPr>
        <w:t xml:space="preserve">[N048] </w:t>
      </w:r>
      <w:hyperlink r:id="rId100">
        <w:r>
          <w:rPr>
            <w:color w:val="4338CA"/>
          </w:rPr>
          <w:t>AI and Data Center Networking</w:t>
        </w:r>
      </w:hyperlink>
    </w:p>
    <w:p>
      <w:pPr>
        <w:keepNext/>
      </w:pPr>
      <w:r>
        <w:rPr>
          <w:sz w:val="16"/>
        </w:rPr>
        <w:t>InnoLight | 发布 未确认 | 检索 2026-10-15 | official | read</w:t>
      </w:r>
    </w:p>
    <w:p>
      <w:pPr>
        <w:keepNext/>
      </w:pPr>
      <w:r>
        <w:t>证据范围 100G至1.6T光模块产品组合</w:t>
      </w:r>
    </w:p>
    <w:p>
      <w:r>
        <w:t>用于 数据怎样移动：机内、机架、集群与跨中心网络；把一条光链路拆到材料、晶圆、装配与测试；网络与光互联企业地图、瓶颈与可证伪投资命题</w:t>
      </w:r>
    </w:p>
    <w:p>
      <w:pPr>
        <w:keepNext/>
      </w:pPr>
      <w:r>
        <w:rPr>
          <w:b/>
        </w:rPr>
        <w:t xml:space="preserve">[N049] </w:t>
      </w:r>
      <w:hyperlink r:id="rId101">
        <w:r>
          <w:rPr>
            <w:color w:val="4338CA"/>
          </w:rPr>
          <w:t>ECOC2025 Demo Eoptolink</w:t>
        </w:r>
      </w:hyperlink>
    </w:p>
    <w:p>
      <w:pPr>
        <w:keepNext/>
      </w:pPr>
      <w:r>
        <w:rPr>
          <w:sz w:val="16"/>
        </w:rPr>
        <w:t>OIF/Eoptolink | 发布 2025-09-29 | 检索 2026-10-15 | official | search-excerpt</w:t>
      </w:r>
    </w:p>
    <w:p>
      <w:pPr>
        <w:keepNext/>
      </w:pPr>
      <w:r>
        <w:t>证据范围 800ZR相干模块参加OIF展示；非出货量证明</w:t>
      </w:r>
    </w:p>
    <w:p>
      <w:r>
        <w:t>用于 数据怎样移动：机内、机架、集群与跨中心网络；把一条光链路拆到材料、晶圆、装配与测试；网络与光互联企业地图、瓶颈与可证伪投资命题</w:t>
      </w:r>
    </w:p>
    <w:p>
      <w:pPr>
        <w:keepNext/>
      </w:pPr>
      <w:r>
        <w:rPr>
          <w:b/>
        </w:rPr>
        <w:t xml:space="preserve">[N050] </w:t>
      </w:r>
      <w:hyperlink r:id="rId80">
        <w:r>
          <w:rPr>
            <w:color w:val="4338CA"/>
          </w:rPr>
          <w:t>Infocommunications Research and Development</w:t>
        </w:r>
      </w:hyperlink>
    </w:p>
    <w:p>
      <w:pPr>
        <w:keepNext/>
      </w:pPr>
      <w:r>
        <w:rPr>
          <w:sz w:val="16"/>
        </w:rPr>
        <w:t>Sumitomo Electric | 发布 未确认 | 检索 2026-10-15 | official | search-excerpt</w:t>
      </w:r>
    </w:p>
    <w:p>
      <w:pPr>
        <w:keepNext/>
      </w:pPr>
      <w:r>
        <w:t>证据范围 多芯光纤、连接器与DFB激光研发</w:t>
      </w:r>
    </w:p>
    <w:p>
      <w:r>
        <w:t>用于 热量怎样离开机柜：液冷、建设与运维；把一条光链路拆到材料、晶圆、装配与测试；网络与光互联企业地图、瓶颈与可证伪投资命题</w:t>
      </w:r>
    </w:p>
    <w:p>
      <w:pPr>
        <w:keepNext/>
      </w:pPr>
      <w:r>
        <w:rPr>
          <w:b/>
        </w:rPr>
        <w:t xml:space="preserve">[N051] </w:t>
      </w:r>
      <w:hyperlink r:id="rId81">
        <w:r>
          <w:rPr>
            <w:color w:val="4338CA"/>
          </w:rPr>
          <w:t>Briefing Material of Furukawa Electric</w:t>
        </w:r>
      </w:hyperlink>
    </w:p>
    <w:p>
      <w:pPr>
        <w:keepNext/>
      </w:pPr>
      <w:r>
        <w:rPr>
          <w:sz w:val="16"/>
        </w:rPr>
        <w:t>Furukawa Electric | 发布 2025-12-04 | 检索 2026-10-15 | official | search-excerpt</w:t>
      </w:r>
    </w:p>
    <w:p>
      <w:pPr>
        <w:keepNext/>
      </w:pPr>
      <w:r>
        <w:t>证据范围 光纤带缆MT插芯DFB与冷却产品</w:t>
      </w:r>
    </w:p>
    <w:p>
      <w:r>
        <w:t>用于 热量怎样离开机柜：液冷、建设与运维；把一条光链路拆到材料、晶圆、装配与测试；网络与光互联企业地图、瓶颈与可证伪投资命题</w:t>
      </w:r>
    </w:p>
    <w:p>
      <w:pPr>
        <w:keepNext/>
      </w:pPr>
      <w:r>
        <w:rPr>
          <w:b/>
        </w:rPr>
        <w:t xml:space="preserve">[N052] </w:t>
      </w:r>
      <w:hyperlink r:id="rId84">
        <w:r>
          <w:rPr>
            <w:color w:val="4338CA"/>
          </w:rPr>
          <w:t>Direct to chip cooling implementation</w:t>
        </w:r>
      </w:hyperlink>
    </w:p>
    <w:p>
      <w:pPr>
        <w:keepNext/>
      </w:pPr>
      <w:r>
        <w:rPr>
          <w:sz w:val="16"/>
        </w:rPr>
        <w:t>Reddit r/datacenter | 发布 2025-05-26 | 检索 2026-10-15 | forum | read</w:t>
      </w:r>
    </w:p>
    <w:p>
      <w:pPr>
        <w:keepNext/>
      </w:pPr>
      <w:r>
        <w:t>证据范围 管道空间残余风冷二次液体等匿名经验，非市场事实</w:t>
      </w:r>
    </w:p>
    <w:p>
      <w:r>
        <w:t>用于 热量怎样离开机柜：液冷、建设与运维；网络与光互联企业地图、瓶颈与可证伪投资命题</w:t>
      </w:r>
    </w:p>
    <w:p>
      <w:pPr>
        <w:keepNext/>
      </w:pPr>
      <w:r>
        <w:rPr>
          <w:b/>
        </w:rPr>
        <w:t xml:space="preserve">[N053] </w:t>
      </w:r>
      <w:hyperlink r:id="rId151">
        <w:r>
          <w:rPr>
            <w:color w:val="4338CA"/>
          </w:rPr>
          <w:t>Why does Silicon Photonic become more dominant in 1.6T</w:t>
        </w:r>
      </w:hyperlink>
    </w:p>
    <w:p>
      <w:pPr>
        <w:keepNext/>
      </w:pPr>
      <w:r>
        <w:rPr>
          <w:sz w:val="16"/>
        </w:rPr>
        <w:t>Reddit r/Semiconductors | 发布 未确认 | 检索 2026-10-15 | forum | read</w:t>
      </w:r>
    </w:p>
    <w:p>
      <w:pPr>
        <w:keepNext/>
      </w:pPr>
      <w:r>
        <w:t>证据范围 讨论EML与硅光份额转移的条件，非管理层原始口径</w:t>
      </w:r>
    </w:p>
    <w:p>
      <w:r>
        <w:t>用于 网络与光互联企业地图、瓶颈与可证伪投资命题</w:t>
      </w:r>
    </w:p>
    <w:p>
      <w:pPr>
        <w:keepNext/>
      </w:pPr>
      <w:r>
        <w:rPr>
          <w:b/>
        </w:rPr>
        <w:t xml:space="preserve">[N054] </w:t>
      </w:r>
      <w:hyperlink r:id="rId77">
        <w:r>
          <w:rPr>
            <w:color w:val="4338CA"/>
          </w:rPr>
          <w:t>CHx2000 The AI CDU</w:t>
        </w:r>
      </w:hyperlink>
    </w:p>
    <w:p>
      <w:pPr>
        <w:keepNext/>
      </w:pPr>
      <w:r>
        <w:rPr>
          <w:sz w:val="16"/>
        </w:rPr>
        <w:t>CoolIT | 发布 未确认 | 检索 2026-10-15 | official | search-excerpt</w:t>
      </w:r>
    </w:p>
    <w:p>
      <w:pPr>
        <w:keepNext/>
      </w:pPr>
      <w:r>
        <w:t>证据范围 两MW级CDU产品含泵过滤传感控制的厂商说明</w:t>
      </w:r>
    </w:p>
    <w:p>
      <w:r>
        <w:t>用于 热量怎样离开机柜：液冷、建设与运维</w:t>
      </w:r>
    </w:p>
    <w:p>
      <w:pPr>
        <w:keepNext/>
      </w:pPr>
      <w:r>
        <w:rPr>
          <w:b/>
        </w:rPr>
        <w:t xml:space="preserve">[N055] </w:t>
      </w:r>
      <w:hyperlink r:id="rId75">
        <w:r>
          <w:rPr>
            <w:color w:val="4338CA"/>
          </w:rPr>
          <w:t>Cold Plates for AI Server Cooling</w:t>
        </w:r>
      </w:hyperlink>
    </w:p>
    <w:p>
      <w:pPr>
        <w:keepNext/>
      </w:pPr>
      <w:r>
        <w:rPr>
          <w:sz w:val="16"/>
        </w:rPr>
        <w:t>Boyd | 发布 未确认 | 检索 2026-10-15 | official | search-excerpt</w:t>
      </w:r>
    </w:p>
    <w:p>
      <w:pPr>
        <w:keepNext/>
      </w:pPr>
      <w:r>
        <w:t>证据范围 冷板与环路歧管CDU协同设计</w:t>
      </w:r>
    </w:p>
    <w:p>
      <w:r>
        <w:t>用于 热量怎样离开机柜：液冷、建设与运维</w:t>
      </w:r>
    </w:p>
    <w:p>
      <w:pPr>
        <w:keepNext/>
      </w:pPr>
      <w:r>
        <w:rPr>
          <w:b/>
        </w:rPr>
        <w:t xml:space="preserve">[N056] </w:t>
      </w:r>
      <w:hyperlink r:id="rId133">
        <w:r>
          <w:rPr>
            <w:color w:val="4338CA"/>
          </w:rPr>
          <w:t>SiFotonics Homepage</w:t>
        </w:r>
      </w:hyperlink>
    </w:p>
    <w:p>
      <w:pPr>
        <w:keepNext/>
      </w:pPr>
      <w:r>
        <w:rPr>
          <w:sz w:val="16"/>
        </w:rPr>
        <w:t>SiFotonics | 发布 未确认 | 检索 2026-10-15 | official | search-excerpt</w:t>
      </w:r>
    </w:p>
    <w:p>
      <w:pPr>
        <w:keepNext/>
      </w:pPr>
      <w:r>
        <w:t>证据范围 800G/1.6T硅光产品发布，未核实客户量产</w:t>
      </w:r>
    </w:p>
    <w:p>
      <w:r>
        <w:t>用于 网络与光互联企业地图、瓶颈与可证伪投资命题</w:t>
      </w:r>
    </w:p>
    <w:p>
      <w:pPr>
        <w:keepNext/>
      </w:pPr>
      <w:r>
        <w:rPr>
          <w:b/>
        </w:rPr>
        <w:t xml:space="preserve">[N057] </w:t>
      </w:r>
      <w:hyperlink r:id="rId67">
        <w:r>
          <w:rPr>
            <w:color w:val="4338CA"/>
          </w:rPr>
          <w:t>Digital 48V Datacenter Solution Q4 2024</w:t>
        </w:r>
      </w:hyperlink>
    </w:p>
    <w:p>
      <w:pPr>
        <w:keepNext/>
      </w:pPr>
      <w:r>
        <w:rPr>
          <w:sz w:val="16"/>
        </w:rPr>
        <w:t>Monolithic Power Systems | 发布 未确认 | 检索 2026-10-15 | official | search-excerpt</w:t>
      </w:r>
    </w:p>
    <w:p>
      <w:pPr>
        <w:keepNext/>
      </w:pPr>
      <w:r>
        <w:t>证据范围 IBC POL eFuse与Z轴/垂直供电布局</w:t>
      </w:r>
    </w:p>
    <w:p>
      <w:r>
        <w:t>用于 从电网到芯片：供电架构与材料</w:t>
      </w:r>
    </w:p>
    <w:p>
      <w:pPr>
        <w:keepNext/>
      </w:pPr>
      <w:r>
        <w:rPr>
          <w:b/>
        </w:rPr>
        <w:t xml:space="preserve">[N058] </w:t>
      </w:r>
      <w:hyperlink r:id="rId69">
        <w:r>
          <w:rPr>
            <w:color w:val="4338CA"/>
          </w:rPr>
          <w:t>AI Data Center Electronics</w:t>
        </w:r>
      </w:hyperlink>
    </w:p>
    <w:p>
      <w:pPr>
        <w:keepNext/>
      </w:pPr>
      <w:r>
        <w:rPr>
          <w:sz w:val="16"/>
        </w:rPr>
        <w:t>TDK | 发布 未确认 | 检索 2026-10-15 | official | search-excerpt</w:t>
      </w:r>
    </w:p>
    <w:p>
      <w:pPr>
        <w:keepNext/>
      </w:pPr>
      <w:r>
        <w:t>证据范围 磁性无源与保护元件跨UPS PSU SST供电链</w:t>
      </w:r>
    </w:p>
    <w:p>
      <w:r>
        <w:t>用于 从电网到芯片：供电架构与材料；热量怎样离开机柜：液冷、建设与运维</w:t>
      </w:r>
    </w:p>
    <w:p>
      <w:pPr>
        <w:keepNext/>
      </w:pPr>
      <w:r>
        <w:rPr>
          <w:b/>
        </w:rPr>
        <w:t xml:space="preserve">[N060] </w:t>
      </w:r>
      <w:hyperlink r:id="rId65">
        <w:r>
          <w:rPr>
            <w:color w:val="4338CA"/>
          </w:rPr>
          <w:t>Energy data centre solutions</w:t>
        </w:r>
      </w:hyperlink>
    </w:p>
    <w:p>
      <w:pPr>
        <w:keepNext/>
      </w:pPr>
      <w:r>
        <w:rPr>
          <w:sz w:val="16"/>
        </w:rPr>
        <w:t>Prysmian | 发布 未确认 | 检索 2026-10-15 | official | search-excerpt</w:t>
      </w:r>
    </w:p>
    <w:p>
      <w:pPr>
        <w:keepNext/>
      </w:pPr>
      <w:r>
        <w:t>证据范围 中低压电缆建筑线消防控制及数据线缆</w:t>
      </w:r>
    </w:p>
    <w:p>
      <w:r>
        <w:t>用于 从电网到芯片：供电架构与材料；热量怎样离开机柜：液冷、建设与运维；把一条光链路拆到材料、晶圆、装配与测试；网络与光互联企业地图、瓶颈与可证伪投资命题</w:t>
      </w:r>
    </w:p>
    <w:p>
      <w:pPr>
        <w:keepNext/>
      </w:pPr>
      <w:r>
        <w:rPr>
          <w:b/>
        </w:rPr>
        <w:t xml:space="preserve">[N061] </w:t>
      </w:r>
      <w:hyperlink r:id="rId124">
        <w:r>
          <w:rPr>
            <w:color w:val="4338CA"/>
          </w:rPr>
          <w:t>H3C Switches Product Resource Center</w:t>
        </w:r>
      </w:hyperlink>
    </w:p>
    <w:p>
      <w:pPr>
        <w:keepNext/>
      </w:pPr>
      <w:r>
        <w:rPr>
          <w:sz w:val="16"/>
        </w:rPr>
        <w:t>H3C | 发布 未确认 | 检索 2026-10-15 | official | search-excerpt</w:t>
      </w:r>
    </w:p>
    <w:p>
      <w:pPr>
        <w:keepNext/>
      </w:pPr>
      <w:r>
        <w:t>证据范围 800G以太网交换机产品与CPO机型宣称</w:t>
      </w:r>
    </w:p>
    <w:p>
      <w:r>
        <w:t>用于 网络与光互联企业地图、瓶颈与可证伪投资命题</w:t>
      </w:r>
    </w:p>
    <w:p>
      <w:pPr>
        <w:keepNext/>
      </w:pPr>
      <w:r>
        <w:rPr>
          <w:b/>
        </w:rPr>
        <w:t xml:space="preserve">[N062] </w:t>
      </w:r>
      <w:hyperlink r:id="rId125">
        <w:r>
          <w:rPr>
            <w:color w:val="4338CA"/>
          </w:rPr>
          <w:t>800G AI ML Fabrics</w:t>
        </w:r>
      </w:hyperlink>
    </w:p>
    <w:p>
      <w:pPr>
        <w:keepNext/>
      </w:pPr>
      <w:r>
        <w:rPr>
          <w:sz w:val="16"/>
        </w:rPr>
        <w:t>Accton | 发布 2025-08-26 | 检索 2026-10-15 | official | search-excerpt</w:t>
      </w:r>
    </w:p>
    <w:p>
      <w:pPr>
        <w:keepNext/>
      </w:pPr>
      <w:r>
        <w:t>证据范围 台湾ODM 800G AI交换硬件</w:t>
      </w:r>
    </w:p>
    <w:p>
      <w:r>
        <w:t>用于 网络与光互联企业地图、瓶颈与可证伪投资命题</w:t>
      </w:r>
    </w:p>
    <w:p>
      <w:pPr>
        <w:keepNext/>
      </w:pPr>
      <w:r>
        <w:rPr>
          <w:b/>
        </w:rPr>
        <w:t xml:space="preserve">[N063] </w:t>
      </w:r>
      <w:hyperlink r:id="rId96">
        <w:r>
          <w:rPr>
            <w:color w:val="4338CA"/>
          </w:rPr>
          <w:t>IEEE P802.3df Task Force</w:t>
        </w:r>
      </w:hyperlink>
    </w:p>
    <w:p>
      <w:pPr>
        <w:keepNext/>
      </w:pPr>
      <w:r>
        <w:rPr>
          <w:sz w:val="16"/>
        </w:rPr>
        <w:t>IEEE | 发布 2024-02-16 | 检索 2026-10-15 | standard | search-excerpt</w:t>
      </w:r>
    </w:p>
    <w:p>
      <w:pPr>
        <w:keepNext/>
      </w:pPr>
      <w:r>
        <w:t>证据范围 800GbE标准获批，接口与协议范围</w:t>
      </w:r>
    </w:p>
    <w:p>
      <w:r>
        <w:t>用于 数据怎样移动：机内、机架、集群与跨中心网络</w:t>
      </w:r>
    </w:p>
    <w:p>
      <w:pPr>
        <w:keepNext/>
      </w:pPr>
      <w:r>
        <w:rPr>
          <w:b/>
        </w:rPr>
        <w:t xml:space="preserve">[N064] </w:t>
      </w:r>
      <w:hyperlink r:id="rId109">
        <w:r>
          <w:rPr>
            <w:color w:val="4338CA"/>
          </w:rPr>
          <w:t>NVIDIA Announces Spectrum-X Photonics CPO Networking Switches</w:t>
        </w:r>
      </w:hyperlink>
    </w:p>
    <w:p>
      <w:pPr>
        <w:keepNext/>
      </w:pPr>
      <w:r>
        <w:rPr>
          <w:sz w:val="16"/>
        </w:rPr>
        <w:t>NVIDIA | 发布 2025-03-18 | 检索 2026-10-15 | official | search-excerpt</w:t>
      </w:r>
    </w:p>
    <w:p>
      <w:pPr>
        <w:keepNext/>
      </w:pPr>
      <w:r>
        <w:t>证据范围 CPO网络平台发布与当时预期时间，不是2026验收证明</w:t>
      </w:r>
    </w:p>
    <w:p>
      <w:r>
        <w:t>用于 把一条光链路拆到材料、晶圆、装配与测试</w:t>
      </w:r>
    </w:p>
    <w:p>
      <w:pPr>
        <w:keepNext/>
      </w:pPr>
      <w:r>
        <w:rPr>
          <w:b/>
        </w:rPr>
        <w:t xml:space="preserve">[N065] </w:t>
      </w:r>
      <w:hyperlink r:id="rId86">
        <w:r>
          <w:rPr>
            <w:color w:val="4338CA"/>
          </w:rPr>
          <w:t>Marvell Optical DSPs</w:t>
        </w:r>
      </w:hyperlink>
    </w:p>
    <w:p>
      <w:pPr>
        <w:keepNext/>
      </w:pPr>
      <w:r>
        <w:rPr>
          <w:sz w:val="16"/>
        </w:rPr>
        <w:t>Marvell | 发布 未确认 | 检索 2026-10-15 | official | read</w:t>
      </w:r>
    </w:p>
    <w:p>
      <w:pPr>
        <w:keepNext/>
      </w:pPr>
      <w:r>
        <w:t>证据范围 PAM4与coherent DSP不同产品及Ara/Aquila/COLORZ范围</w:t>
      </w:r>
    </w:p>
    <w:p>
      <w:r>
        <w:t>用于 数据怎样移动：机内、机架、集群与跨中心网络；把一条光链路拆到材料、晶圆、装配与测试；网络与光互联企业地图、瓶颈与可证伪投资命题；计算架构与芯片设计</w:t>
      </w:r>
    </w:p>
    <w:p>
      <w:pPr>
        <w:keepNext/>
      </w:pPr>
      <w:r>
        <w:rPr>
          <w:b/>
        </w:rPr>
        <w:t xml:space="preserve">[N066] </w:t>
      </w:r>
      <w:hyperlink r:id="rId114">
        <w:r>
          <w:rPr>
            <w:color w:val="4338CA"/>
          </w:rPr>
          <w:t>Silicon Photonics SiPho</w:t>
        </w:r>
      </w:hyperlink>
    </w:p>
    <w:p>
      <w:pPr>
        <w:keepNext/>
      </w:pPr>
      <w:r>
        <w:rPr>
          <w:sz w:val="16"/>
        </w:rPr>
        <w:t>Tower Semiconductor | 发布 未确认 | 检索 2026-10-15 | official | read</w:t>
      </w:r>
    </w:p>
    <w:p>
      <w:pPr>
        <w:keepNext/>
      </w:pPr>
      <w:r>
        <w:t>证据范围 Si和SiN波导、Ge探测器、Al/Cu后端及混合键合平台</w:t>
      </w:r>
    </w:p>
    <w:p>
      <w:r>
        <w:t>用于 把一条光链路拆到材料、晶圆、装配与测试；网络与光互联企业地图、瓶颈与可证伪投资命题</w:t>
      </w:r>
    </w:p>
    <w:p>
      <w:pPr>
        <w:keepNext/>
      </w:pPr>
      <w:r>
        <w:rPr>
          <w:b/>
        </w:rPr>
        <w:t xml:space="preserve">[N067] </w:t>
      </w:r>
      <w:hyperlink r:id="rId116">
        <w:r>
          <w:rPr>
            <w:color w:val="4338CA"/>
          </w:rPr>
          <w:t>Silicon nitride-based photonics</w:t>
        </w:r>
      </w:hyperlink>
    </w:p>
    <w:p>
      <w:pPr>
        <w:keepNext/>
      </w:pPr>
      <w:r>
        <w:rPr>
          <w:sz w:val="16"/>
        </w:rPr>
        <w:t>imec | 发布 未确认 | 检索 2026-10-15 | official | read</w:t>
      </w:r>
    </w:p>
    <w:p>
      <w:pPr>
        <w:keepNext/>
      </w:pPr>
      <w:r>
        <w:t>证据范围 LPCVD低损耗SiN光子工艺平台</w:t>
      </w:r>
    </w:p>
    <w:p>
      <w:r>
        <w:t>用于 把一条光链路拆到材料、晶圆、装配与测试；网络与光互联企业地图、瓶颈与可证伪投资命题</w:t>
      </w:r>
    </w:p>
    <w:p>
      <w:pPr>
        <w:keepNext/>
      </w:pPr>
      <w:r>
        <w:rPr>
          <w:b/>
        </w:rPr>
        <w:t xml:space="preserve">[N068] </w:t>
      </w:r>
      <w:hyperlink r:id="rId115">
        <w:r>
          <w:rPr>
            <w:color w:val="4338CA"/>
          </w:rPr>
          <w:t>Photonics SOI Products</w:t>
        </w:r>
      </w:hyperlink>
    </w:p>
    <w:p>
      <w:pPr>
        <w:keepNext/>
      </w:pPr>
      <w:r>
        <w:rPr>
          <w:sz w:val="16"/>
        </w:rPr>
        <w:t>Soitec | 发布 未确认 | 检索 2026-10-15 | official | search-excerpt</w:t>
      </w:r>
    </w:p>
    <w:p>
      <w:pPr>
        <w:keepNext/>
      </w:pPr>
      <w:r>
        <w:t>证据范围 SmartCut Photonics-SOI工程衬底产品</w:t>
      </w:r>
    </w:p>
    <w:p>
      <w:r>
        <w:t>用于 把一条光链路拆到材料、晶圆、装配与测试；网络与光互联企业地图、瓶颈与可证伪投资命题</w:t>
      </w:r>
    </w:p>
    <w:p>
      <w:pPr>
        <w:keepNext/>
      </w:pPr>
      <w:r>
        <w:rPr>
          <w:b/>
        </w:rPr>
        <w:t xml:space="preserve">[N069] </w:t>
      </w:r>
      <w:hyperlink r:id="rId118">
        <w:r>
          <w:rPr>
            <w:color w:val="4338CA"/>
          </w:rPr>
          <w:t>Magneto Optic Faraday Rotator Garnet Crystals</w:t>
        </w:r>
      </w:hyperlink>
    </w:p>
    <w:p>
      <w:pPr>
        <w:keepNext/>
      </w:pPr>
      <w:r>
        <w:rPr>
          <w:sz w:val="16"/>
        </w:rPr>
        <w:t>Coherent | 发布 未确认 | 检索 2026-10-15 | official | search-excerpt</w:t>
      </w:r>
    </w:p>
    <w:p>
      <w:pPr>
        <w:keepNext/>
      </w:pPr>
      <w:r>
        <w:t>证据范围 铋掺杂稀土铁石榴石磁光材料与隔离器用途</w:t>
      </w:r>
    </w:p>
    <w:p>
      <w:r>
        <w:t>用于 把一条光链路拆到材料、晶圆、装配与测试；网络与光互联企业地图、瓶颈与可证伪投资命题</w:t>
      </w:r>
    </w:p>
    <w:p>
      <w:pPr>
        <w:keepNext/>
      </w:pPr>
      <w:r>
        <w:rPr>
          <w:b/>
        </w:rPr>
        <w:t xml:space="preserve">[N070] </w:t>
      </w:r>
      <w:hyperlink r:id="rId147">
        <w:r>
          <w:rPr>
            <w:color w:val="4338CA"/>
          </w:rPr>
          <w:t>300x300 Optical Circuit Switch</w:t>
        </w:r>
      </w:hyperlink>
    </w:p>
    <w:p>
      <w:pPr>
        <w:keepNext/>
      </w:pPr>
      <w:r>
        <w:rPr>
          <w:sz w:val="16"/>
        </w:rPr>
        <w:t>Lumentum | 发布 未确认 | 检索 2026-10-15 | official | read</w:t>
      </w:r>
    </w:p>
    <w:p>
      <w:pPr>
        <w:keepNext/>
      </w:pPr>
      <w:r>
        <w:t>证据范围 MEMS光路交换R300产品角色，非客户规模验收证据</w:t>
      </w:r>
    </w:p>
    <w:p>
      <w:r>
        <w:t>用于 网络与光互联企业地图、瓶颈与可证伪投资命题</w:t>
      </w:r>
    </w:p>
    <w:p>
      <w:pPr>
        <w:keepNext/>
      </w:pPr>
      <w:r>
        <w:rPr>
          <w:b/>
        </w:rPr>
        <w:t xml:space="preserve">[N071] </w:t>
      </w:r>
      <w:hyperlink r:id="rId82">
        <w:r>
          <w:rPr>
            <w:color w:val="4338CA"/>
          </w:rPr>
          <w:t>Hyosung Heavy Industries Showcases Future of Power Grids for AI Data Centers</w:t>
        </w:r>
      </w:hyperlink>
    </w:p>
    <w:p>
      <w:pPr>
        <w:keepNext/>
      </w:pPr>
      <w:r>
        <w:rPr>
          <w:sz w:val="16"/>
        </w:rPr>
        <w:t>Hyosung | 发布 未确认 | 检索 2026-10-15 | official | search-excerpt</w:t>
      </w:r>
    </w:p>
    <w:p>
      <w:pPr>
        <w:keepNext/>
      </w:pPr>
      <w:r>
        <w:t>证据范围 韩国变压器开关设备SST STATCOM等AI电网展示</w:t>
      </w:r>
    </w:p>
    <w:p>
      <w:r>
        <w:t>用于 热量怎样离开机柜：液冷、建设与运维；网络与光互联企业地图、瓶颈与可证伪投资命题</w:t>
      </w:r>
    </w:p>
    <w:p>
      <w:pPr>
        <w:keepNext/>
      </w:pPr>
      <w:r>
        <w:rPr>
          <w:b/>
        </w:rPr>
        <w:t xml:space="preserve">[N072] </w:t>
      </w:r>
      <w:hyperlink r:id="rId83">
        <w:r>
          <w:rPr>
            <w:color w:val="4338CA"/>
          </w:rPr>
          <w:t>Remote Power Panel</w:t>
        </w:r>
      </w:hyperlink>
    </w:p>
    <w:p>
      <w:pPr>
        <w:keepNext/>
      </w:pPr>
      <w:r>
        <w:rPr>
          <w:sz w:val="16"/>
        </w:rPr>
        <w:t>LS ELECTRIC | 发布 未确认 | 检索 2026-10-15 | official | search-excerpt</w:t>
      </w:r>
    </w:p>
    <w:p>
      <w:pPr>
        <w:keepNext/>
      </w:pPr>
      <w:r>
        <w:t>证据范围 数据中心RPP配电产品，不能证明整体收入</w:t>
      </w:r>
    </w:p>
    <w:p>
      <w:r>
        <w:t>用于 热量怎样离开机柜：液冷、建设与运维；网络与光互联企业地图、瓶颈与可证伪投资命题</w:t>
      </w:r>
    </w:p>
    <w:p>
      <w:pPr>
        <w:keepNext/>
      </w:pPr>
      <w:r>
        <w:rPr>
          <w:b/>
        </w:rPr>
        <w:t xml:space="preserve">[N073] </w:t>
      </w:r>
      <w:hyperlink r:id="rId126">
        <w:r>
          <w:rPr>
            <w:color w:val="4338CA"/>
          </w:rPr>
          <w:t>Cisco Advances Scalability and Openness at OCP 2026</w:t>
        </w:r>
      </w:hyperlink>
    </w:p>
    <w:p>
      <w:pPr>
        <w:keepNext/>
      </w:pPr>
      <w:r>
        <w:rPr>
          <w:sz w:val="16"/>
        </w:rPr>
        <w:t>Cisco | 发布 未确认 | 检索 2026-10-15 | official | search-excerpt</w:t>
      </w:r>
    </w:p>
    <w:p>
      <w:pPr>
        <w:keepNext/>
      </w:pPr>
      <w:r>
        <w:t>证据范围 G300系统开始向客户出货的厂商披露</w:t>
      </w:r>
    </w:p>
    <w:p>
      <w:r>
        <w:t>用于 网络与光互联企业地图、瓶颈与可证伪投资命题</w:t>
      </w:r>
    </w:p>
    <w:p>
      <w:pPr>
        <w:keepNext/>
      </w:pPr>
      <w:r>
        <w:rPr>
          <w:b/>
        </w:rPr>
        <w:t xml:space="preserve">[N074] </w:t>
      </w:r>
      <w:hyperlink r:id="rId127">
        <w:r>
          <w:rPr>
            <w:color w:val="4338CA"/>
          </w:rPr>
          <w:t>HPE 2025 Annual Report</w:t>
        </w:r>
      </w:hyperlink>
    </w:p>
    <w:p>
      <w:pPr>
        <w:keepNext/>
      </w:pPr>
      <w:r>
        <w:rPr>
          <w:sz w:val="16"/>
        </w:rPr>
        <w:t>HPE | 发布 未确认 | 检索 2026-10-15 | official | search-excerpt</w:t>
      </w:r>
    </w:p>
    <w:p>
      <w:pPr>
        <w:keepNext/>
      </w:pPr>
      <w:r>
        <w:t>证据范围 Juniper收购后网络与AI数据中心产品范围</w:t>
      </w:r>
    </w:p>
    <w:p>
      <w:r>
        <w:t>用于 网络与光互联企业地图、瓶颈与可证伪投资命题</w:t>
      </w:r>
    </w:p>
    <w:p>
      <w:pPr>
        <w:keepNext/>
      </w:pPr>
      <w:r>
        <w:rPr>
          <w:b/>
        </w:rPr>
        <w:t xml:space="preserve">[N075] </w:t>
      </w:r>
      <w:hyperlink r:id="rId128">
        <w:r>
          <w:rPr>
            <w:color w:val="4338CA"/>
          </w:rPr>
          <w:t>Xinghe AI Fabric 2.0</w:t>
        </w:r>
      </w:hyperlink>
    </w:p>
    <w:p>
      <w:pPr>
        <w:keepNext/>
      </w:pPr>
      <w:r>
        <w:rPr>
          <w:sz w:val="16"/>
        </w:rPr>
        <w:t>Huawei | 发布 未确认 | 检索 2026-10-15 | official | search-excerpt</w:t>
      </w:r>
    </w:p>
    <w:p>
      <w:pPr>
        <w:keepNext/>
      </w:pPr>
      <w:r>
        <w:t>证据范围 CloudEngine与StarryLink 800GE产品地图</w:t>
      </w:r>
    </w:p>
    <w:p>
      <w:r>
        <w:t>用于 网络与光互联企业地图、瓶颈与可证伪投资命题</w:t>
      </w:r>
    </w:p>
    <w:p>
      <w:pPr>
        <w:keepNext/>
      </w:pPr>
      <w:r>
        <w:rPr>
          <w:b/>
        </w:rPr>
        <w:t xml:space="preserve">[N076] </w:t>
      </w:r>
      <w:hyperlink r:id="rId139">
        <w:r>
          <w:rPr>
            <w:color w:val="4338CA"/>
          </w:rPr>
          <w:t>Accelink 2025 Annual Report</w:t>
        </w:r>
      </w:hyperlink>
    </w:p>
    <w:p>
      <w:pPr>
        <w:keepNext/>
      </w:pPr>
      <w:r>
        <w:rPr>
          <w:sz w:val="16"/>
        </w:rPr>
        <w:t>Accelink | 发布 2026-04-27 | 检索 2026-10-15 | official | search-excerpt</w:t>
      </w:r>
    </w:p>
    <w:p>
      <w:pPr>
        <w:keepNext/>
      </w:pPr>
      <w:r>
        <w:t>证据范围 800G LPO与1.6T光模块系列的公司披露</w:t>
      </w:r>
    </w:p>
    <w:p>
      <w:r>
        <w:t>用于 网络与光互联企业地图、瓶颈与可证伪投资命题</w:t>
      </w:r>
    </w:p>
    <w:p>
      <w:pPr>
        <w:keepNext/>
      </w:pPr>
      <w:r>
        <w:rPr>
          <w:b/>
        </w:rPr>
        <w:t xml:space="preserve">[N078] </w:t>
      </w:r>
      <w:hyperlink r:id="rId146">
        <w:r>
          <w:rPr>
            <w:color w:val="4338CA"/>
          </w:rPr>
          <w:t>Silicon Photonics Test MeasureOne Solutions</w:t>
        </w:r>
      </w:hyperlink>
    </w:p>
    <w:p>
      <w:pPr>
        <w:keepNext/>
      </w:pPr>
      <w:r>
        <w:rPr>
          <w:sz w:val="16"/>
        </w:rPr>
        <w:t>FormFactor | 发布 未确认 | 检索 2026-10-15 | official | read</w:t>
      </w:r>
    </w:p>
    <w:p>
      <w:pPr>
        <w:keepNext/>
      </w:pPr>
      <w:r>
        <w:t>证据范围 FormFactor Keysight PI三方光电晶圆/裸片测试体系</w:t>
      </w:r>
    </w:p>
    <w:p>
      <w:r>
        <w:t>用于 网络与光互联企业地图、瓶颈与可证伪投资命题</w:t>
      </w:r>
    </w:p>
    <w:p>
      <w:pPr>
        <w:keepNext/>
      </w:pPr>
      <w:r>
        <w:rPr>
          <w:b/>
        </w:rPr>
        <w:t xml:space="preserve">[N079] </w:t>
      </w:r>
      <w:hyperlink r:id="rId141">
        <w:r>
          <w:rPr>
            <w:color w:val="4338CA"/>
          </w:rPr>
          <w:t>Ayar Labs Products</w:t>
        </w:r>
      </w:hyperlink>
    </w:p>
    <w:p>
      <w:pPr>
        <w:keepNext/>
      </w:pPr>
      <w:r>
        <w:rPr>
          <w:sz w:val="16"/>
        </w:rPr>
        <w:t>Ayar Labs | 发布 未确认 | 检索 2026-10-15 | official | search-excerpt</w:t>
      </w:r>
    </w:p>
    <w:p>
      <w:pPr>
        <w:keepNext/>
      </w:pPr>
      <w:r>
        <w:t>证据范围 TeraPHY光引擎与SuperNova外部光源完整组件体系</w:t>
      </w:r>
    </w:p>
    <w:p>
      <w:r>
        <w:t>用于 网络与光互联企业地图、瓶颈与可证伪投资命题</w:t>
      </w:r>
    </w:p>
    <w:p>
      <w:pPr>
        <w:keepNext/>
      </w:pPr>
      <w:r>
        <w:rPr>
          <w:b/>
        </w:rPr>
        <w:t xml:space="preserve">[N080] </w:t>
      </w:r>
      <w:hyperlink r:id="rId142">
        <w:r>
          <w:rPr>
            <w:color w:val="4338CA"/>
          </w:rPr>
          <w:t>Intel Demonstrates First Fully Integrated Optical IO Chiplet</w:t>
        </w:r>
      </w:hyperlink>
    </w:p>
    <w:p>
      <w:pPr>
        <w:keepNext/>
      </w:pPr>
      <w:r>
        <w:rPr>
          <w:sz w:val="16"/>
        </w:rPr>
        <w:t>Intel | 发布 2024-06-26 | 检索 2026-10-15 | official | search-excerpt</w:t>
      </w:r>
    </w:p>
    <w:p>
      <w:pPr>
        <w:keepNext/>
      </w:pPr>
      <w:r>
        <w:t>证据范围 PIC带激光/放大器与EIC结合的光IO演示</w:t>
      </w:r>
    </w:p>
    <w:p>
      <w:r>
        <w:t>用于 网络与光互联企业地图、瓶颈与可证伪投资命题；计算架构与芯片设计</w:t>
      </w:r>
    </w:p>
    <w:p>
      <w:pPr>
        <w:keepNext/>
      </w:pPr>
      <w:r>
        <w:rPr>
          <w:b/>
        </w:rPr>
        <w:t xml:space="preserve">[N081] </w:t>
      </w:r>
      <w:hyperlink r:id="rId88">
        <w:r>
          <w:rPr>
            <w:color w:val="4338CA"/>
          </w:rPr>
          <w:t>NVLink The Scale Up Network for AI Factories</w:t>
        </w:r>
      </w:hyperlink>
    </w:p>
    <w:p>
      <w:pPr>
        <w:keepNext/>
      </w:pPr>
      <w:r>
        <w:rPr>
          <w:sz w:val="16"/>
        </w:rPr>
        <w:t>NVIDIA | 发布 未确认 | 检索 2026-10-15 | official | search-excerpt</w:t>
      </w:r>
    </w:p>
    <w:p>
      <w:pPr>
        <w:keepNext/>
      </w:pPr>
      <w:r>
        <w:t>证据范围 NVLink scale-up与Quantum/Spectrum scale-out层级</w:t>
      </w:r>
    </w:p>
    <w:p>
      <w:r>
        <w:t>用于 数据怎样移动：机内、机架、集群与跨中心网络</w:t>
      </w:r>
    </w:p>
    <w:p>
      <w:pPr>
        <w:keepNext/>
      </w:pPr>
      <w:r>
        <w:rPr>
          <w:b/>
        </w:rPr>
        <w:t xml:space="preserve">[N082] </w:t>
      </w:r>
      <w:hyperlink r:id="rId95">
        <w:r>
          <w:rPr>
            <w:color w:val="4338CA"/>
          </w:rPr>
          <w:t>Three Genius Ideas for AI Fabrics</w:t>
        </w:r>
      </w:hyperlink>
    </w:p>
    <w:p>
      <w:pPr>
        <w:keepNext/>
      </w:pPr>
      <w:r>
        <w:rPr>
          <w:sz w:val="16"/>
        </w:rPr>
        <w:t>Arista | 发布 未确认 | 检索 2026-10-15 | official | search-excerpt</w:t>
      </w:r>
    </w:p>
    <w:p>
      <w:pPr>
        <w:keepNext/>
      </w:pPr>
      <w:r>
        <w:t>证据范围 多平面网络与端点组织，供应商工程方法</w:t>
      </w:r>
    </w:p>
    <w:p>
      <w:r>
        <w:t>用于 数据怎样移动：机内、机架、集群与跨中心网络</w:t>
      </w:r>
    </w:p>
    <w:p>
      <w:pPr>
        <w:keepNext/>
      </w:pPr>
      <w:r>
        <w:rPr>
          <w:b/>
        </w:rPr>
        <w:t xml:space="preserve">[N083] </w:t>
      </w:r>
      <w:hyperlink r:id="rId94">
        <w:r>
          <w:rPr>
            <w:color w:val="4338CA"/>
          </w:rPr>
          <w:t>Powering AI Centers with AI Spines</w:t>
        </w:r>
      </w:hyperlink>
    </w:p>
    <w:p>
      <w:pPr>
        <w:keepNext/>
      </w:pPr>
      <w:r>
        <w:rPr>
          <w:sz w:val="16"/>
        </w:rPr>
        <w:t>Arista | 发布 未确认 | 检索 2026-10-15 | official | search-excerpt</w:t>
      </w:r>
    </w:p>
    <w:p>
      <w:pPr>
        <w:keepNext/>
      </w:pPr>
      <w:r>
        <w:t>证据范围 leaf-spine与AI spine设计和规模方法</w:t>
      </w:r>
    </w:p>
    <w:p>
      <w:r>
        <w:t>用于 数据怎样移动：机内、机架、集群与跨中心网络</w:t>
      </w:r>
    </w:p>
    <w:p>
      <w:pPr>
        <w:keepNext/>
      </w:pPr>
      <w:r>
        <w:rPr>
          <w:b/>
        </w:rPr>
        <w:t xml:space="preserve">[N084] </w:t>
      </w:r>
      <w:hyperlink r:id="rId89">
        <w:r>
          <w:rPr>
            <w:color w:val="4338CA"/>
          </w:rPr>
          <w:t>UEC Launches Specification 1.0</w:t>
        </w:r>
      </w:hyperlink>
    </w:p>
    <w:p>
      <w:pPr>
        <w:keepNext/>
      </w:pPr>
      <w:r>
        <w:rPr>
          <w:sz w:val="16"/>
        </w:rPr>
        <w:t>Ultra Ethernet Consortium | 发布 2025-06-11 | 检索 2026-10-15 | standard | read</w:t>
      </w:r>
    </w:p>
    <w:p>
      <w:pPr>
        <w:keepNext/>
      </w:pPr>
      <w:r>
        <w:t>证据范围 端到端RDMA以太网协议及拥塞与互操作范围</w:t>
      </w:r>
    </w:p>
    <w:p>
      <w:r>
        <w:t>用于 数据怎样移动：机内、机架、集群与跨中心网络</w:t>
      </w:r>
    </w:p>
    <w:p>
      <w:pPr>
        <w:keepNext/>
      </w:pPr>
      <w:r>
        <w:rPr>
          <w:b/>
        </w:rPr>
        <w:t xml:space="preserve">[N085] </w:t>
      </w:r>
      <w:hyperlink r:id="rId113">
        <w:r>
          <w:rPr>
            <w:color w:val="4338CA"/>
          </w:rPr>
          <w:t>Free Space Optical Isolators</w:t>
        </w:r>
      </w:hyperlink>
    </w:p>
    <w:p>
      <w:pPr>
        <w:keepNext/>
      </w:pPr>
      <w:r>
        <w:rPr>
          <w:sz w:val="16"/>
        </w:rPr>
        <w:t>Thorlabs | 发布 未确认 | 检索 2026-10-15 | official | search-excerpt</w:t>
      </w:r>
    </w:p>
    <w:p>
      <w:pPr>
        <w:keepNext/>
      </w:pPr>
      <w:r>
        <w:t>证据范围 光隔离器抑制返回光反馈，与电绝缘不同</w:t>
      </w:r>
    </w:p>
    <w:p>
      <w:r>
        <w:t>用于 把一条光链路拆到材料、晶圆、装配与测试</w:t>
      </w:r>
    </w:p>
    <w:p>
      <w:pPr>
        <w:keepNext/>
      </w:pPr>
      <w:r>
        <w:rPr>
          <w:b/>
        </w:rPr>
        <w:t xml:space="preserve">[N086] </w:t>
      </w:r>
      <w:hyperlink r:id="rId117">
        <w:r>
          <w:rPr>
            <w:color w:val="4338CA"/>
          </w:rPr>
          <w:t>Breakthroughs in Heterogeneous Photonic Integration</w:t>
        </w:r>
      </w:hyperlink>
    </w:p>
    <w:p>
      <w:pPr>
        <w:keepNext/>
      </w:pPr>
      <w:r>
        <w:rPr>
          <w:sz w:val="16"/>
        </w:rPr>
        <w:t>imec | 发布 未确认 | 检索 2026-10-15 | official | search-excerpt</w:t>
      </w:r>
    </w:p>
    <w:p>
      <w:pPr>
        <w:keepNext/>
      </w:pPr>
      <w:r>
        <w:t>证据范围 薄膜铌酸锂调制器转印到硅光平台属于研究演示</w:t>
      </w:r>
    </w:p>
    <w:p>
      <w:r>
        <w:t>用于 把一条光链路拆到材料、晶圆、装配与测试</w:t>
      </w:r>
    </w:p>
    <w:p>
      <w:pPr>
        <w:keepNext/>
      </w:pPr>
      <w:r>
        <w:rPr>
          <w:b/>
        </w:rPr>
        <w:t xml:space="preserve">[N087] </w:t>
      </w:r>
      <w:hyperlink r:id="rId104">
        <w:r>
          <w:rPr>
            <w:color w:val="4338CA"/>
          </w:rPr>
          <w:t>InP Optoelectronics</w:t>
        </w:r>
      </w:hyperlink>
    </w:p>
    <w:p>
      <w:pPr>
        <w:keepNext/>
      </w:pPr>
      <w:r>
        <w:rPr>
          <w:sz w:val="16"/>
        </w:rPr>
        <w:t>Coherent | 发布 未确认 | 检索 2026-10-15 | official | read</w:t>
      </w:r>
    </w:p>
    <w:p>
      <w:pPr>
        <w:keepNext/>
      </w:pPr>
      <w:r>
        <w:t>证据范围 InP光探测器与激光产品组合</w:t>
      </w:r>
    </w:p>
    <w:p>
      <w:r>
        <w:t>用于 把一条光链路拆到材料、晶圆、装配与测试</w:t>
      </w:r>
    </w:p>
    <w:p>
      <w:pPr>
        <w:keepNext/>
      </w:pPr>
      <w:r>
        <w:rPr>
          <w:b/>
        </w:rPr>
        <w:t xml:space="preserve">[N088] </w:t>
      </w:r>
      <w:hyperlink r:id="rId123">
        <w:r>
          <w:rPr>
            <w:color w:val="4338CA"/>
          </w:rPr>
          <w:t>ROADMs and Wavelength Management</w:t>
        </w:r>
      </w:hyperlink>
    </w:p>
    <w:p>
      <w:pPr>
        <w:keepNext/>
      </w:pPr>
      <w:r>
        <w:rPr>
          <w:sz w:val="16"/>
        </w:rPr>
        <w:t>Lumentum | 发布 未确认 | 检索 2026-10-15 | official | search-excerpt</w:t>
      </w:r>
    </w:p>
    <w:p>
      <w:pPr>
        <w:keepNext/>
      </w:pPr>
      <w:r>
        <w:t>证据范围 WSS OCM ROADM模块与光路重配置功能</w:t>
      </w:r>
    </w:p>
    <w:p>
      <w:r>
        <w:t>用于 把一条光链路拆到材料、晶圆、装配与测试</w:t>
      </w:r>
    </w:p>
    <w:p>
      <w:pPr>
        <w:keepNext/>
      </w:pPr>
      <w:r>
        <w:rPr>
          <w:b/>
        </w:rPr>
        <w:t xml:space="preserve">[N089] </w:t>
      </w:r>
      <w:hyperlink r:id="rId98">
        <w:r>
          <w:rPr>
            <w:color w:val="4338CA"/>
          </w:rPr>
          <w:t>Credo We Connect</w:t>
        </w:r>
      </w:hyperlink>
    </w:p>
    <w:p>
      <w:pPr>
        <w:keepNext/>
      </w:pPr>
      <w:r>
        <w:rPr>
          <w:sz w:val="16"/>
        </w:rPr>
        <w:t>Credo | 发布 未确认 | 检索 2026-10-15 | official | search-excerpt</w:t>
      </w:r>
    </w:p>
    <w:p>
      <w:pPr>
        <w:keepNext/>
      </w:pPr>
      <w:r>
        <w:t>证据范围 AEC DSP SerDes及链路可靠性定位，厂商陈述</w:t>
      </w:r>
    </w:p>
    <w:p>
      <w:r>
        <w:t>用于 数据怎样移动：机内、机架、集群与跨中心网络；网络与光互联企业地图、瓶颈与可证伪投资命题</w:t>
      </w:r>
    </w:p>
    <w:p>
      <w:pPr>
        <w:keepNext/>
      </w:pPr>
      <w:r>
        <w:rPr>
          <w:b/>
        </w:rPr>
        <w:t xml:space="preserve">[N090] </w:t>
      </w:r>
      <w:hyperlink r:id="rId87">
        <w:r>
          <w:rPr>
            <w:color w:val="4338CA"/>
          </w:rPr>
          <w:t>Semtech Data Center Solutions</w:t>
        </w:r>
      </w:hyperlink>
    </w:p>
    <w:p>
      <w:pPr>
        <w:keepNext/>
      </w:pPr>
      <w:r>
        <w:rPr>
          <w:sz w:val="16"/>
        </w:rPr>
        <w:t>Semtech | 发布 未确认 | 检索 2026-10-15 | official | search-excerpt</w:t>
      </w:r>
    </w:p>
    <w:p>
      <w:pPr>
        <w:keepNext/>
      </w:pPr>
      <w:r>
        <w:t>证据范围 retimed和LPO的激光驱动与TIA 400G至1.6T组合</w:t>
      </w:r>
    </w:p>
    <w:p>
      <w:r>
        <w:t>用于 数据怎样移动：机内、机架、集群与跨中心网络；把一条光链路拆到材料、晶圆、装配与测试；计算架构与芯片设计</w:t>
      </w:r>
    </w:p>
    <w:p>
      <w:pPr>
        <w:keepNext/>
      </w:pPr>
      <w:r>
        <w:rPr>
          <w:b/>
        </w:rPr>
        <w:t xml:space="preserve">[N092] </w:t>
      </w:r>
      <w:hyperlink r:id="rId78">
        <w:r>
          <w:rPr>
            <w:color w:val="4338CA"/>
          </w:rPr>
          <w:t>DGX GB200 Service Manual Safety</w:t>
        </w:r>
      </w:hyperlink>
    </w:p>
    <w:p>
      <w:pPr>
        <w:keepNext/>
      </w:pPr>
      <w:r>
        <w:rPr>
          <w:sz w:val="16"/>
        </w:rPr>
        <w:t>NVIDIA | 发布 2025-09-18 | 检索 2026-10-15 | official | read</w:t>
      </w:r>
    </w:p>
    <w:p>
      <w:pPr>
        <w:keepNext/>
      </w:pPr>
      <w:r>
        <w:t>证据范围 机架机械承载接地布线与设备维护边界</w:t>
      </w:r>
    </w:p>
    <w:p>
      <w:r>
        <w:t>用于 热量怎样离开机柜：液冷、建设与运维</w:t>
      </w:r>
    </w:p>
    <w:p>
      <w:pPr>
        <w:keepNext/>
      </w:pPr>
      <w:r>
        <w:rPr>
          <w:b/>
        </w:rPr>
        <w:t xml:space="preserve">[R001] </w:t>
      </w:r>
      <w:hyperlink r:id="rId313">
        <w:r>
          <w:rPr>
            <w:color w:val="4338CA"/>
          </w:rPr>
          <w:t>CASPA CEO Summit Agenda</w:t>
        </w:r>
      </w:hyperlink>
    </w:p>
    <w:p>
      <w:pPr>
        <w:keepNext/>
      </w:pPr>
      <w:r>
        <w:rPr>
          <w:sz w:val="16"/>
        </w:rPr>
        <w:t>CASPA | 发布 未确认 | 检索 2026-10-15 | official | read</w:t>
      </w:r>
    </w:p>
    <w:p>
      <w:pPr>
        <w:keepNext/>
      </w:pPr>
      <w:r>
        <w:t>证据范围 活动日期、议程、时间与参与机构；预告可能调整</w:t>
      </w:r>
    </w:p>
    <w:p>
      <w:r>
        <w:t>用于 CASPA 会议与公司对应</w:t>
      </w:r>
    </w:p>
    <w:p>
      <w:pPr>
        <w:keepNext/>
      </w:pPr>
      <w:r>
        <w:rPr>
          <w:b/>
        </w:rPr>
        <w:t xml:space="preserve">[R002] </w:t>
      </w:r>
      <w:hyperlink r:id="rId13">
        <w:r>
          <w:rPr>
            <w:color w:val="4338CA"/>
          </w:rPr>
          <w:t>CASPA Speakers Moderators and MCs</w:t>
        </w:r>
      </w:hyperlink>
    </w:p>
    <w:p>
      <w:pPr>
        <w:keepNext/>
      </w:pPr>
      <w:r>
        <w:rPr>
          <w:sz w:val="16"/>
        </w:rPr>
        <w:t>CASPA | 发布 未确认 | 检索 2026-10-15 | official | read</w:t>
      </w:r>
    </w:p>
    <w:p>
      <w:pPr>
        <w:keepNext/>
      </w:pPr>
      <w:r>
        <w:t>证据范围 当前讲者、职务与所属机构，包括Solidigm及Upscale AI代表</w:t>
      </w:r>
    </w:p>
    <w:p>
      <w:r>
        <w:t>用于 AI 基础设施产业全景与 CASPA 参会研究；CASPA 会议与公司对应</w:t>
      </w:r>
    </w:p>
    <w:p>
      <w:pPr>
        <w:keepNext/>
      </w:pPr>
      <w:r>
        <w:rPr>
          <w:b/>
        </w:rPr>
        <w:t xml:space="preserve">[R003] </w:t>
      </w:r>
      <w:hyperlink r:id="rId317">
        <w:r>
          <w:rPr>
            <w:color w:val="4338CA"/>
          </w:rPr>
          <w:t>CASPA Sponsors</w:t>
        </w:r>
      </w:hyperlink>
    </w:p>
    <w:p>
      <w:pPr>
        <w:keepNext/>
      </w:pPr>
      <w:r>
        <w:rPr>
          <w:sz w:val="16"/>
        </w:rPr>
        <w:t>CASPA | 发布 未确认 | 检索 2026-10-15 | official | read</w:t>
      </w:r>
    </w:p>
    <w:p>
      <w:pPr>
        <w:keepNext/>
      </w:pPr>
      <w:r>
        <w:t>证据范围 Event/Table/Display Sponsors及联盟名称，仅证明网页出现</w:t>
      </w:r>
    </w:p>
    <w:p>
      <w:r>
        <w:t>用于 CASPA 会议与公司对应</w:t>
      </w:r>
    </w:p>
    <w:p>
      <w:pPr>
        <w:keepNext/>
      </w:pPr>
      <w:r>
        <w:rPr>
          <w:b/>
        </w:rPr>
        <w:t xml:space="preserve">[R004] </w:t>
      </w:r>
      <w:hyperlink r:id="rId11">
        <w:r>
          <w:rPr>
            <w:color w:val="4338CA"/>
          </w:rPr>
          <w:t>NVIDIA Vera Rubin Opens Agentic AI Frontier</w:t>
        </w:r>
      </w:hyperlink>
    </w:p>
    <w:p>
      <w:pPr>
        <w:keepNext/>
      </w:pPr>
      <w:r>
        <w:rPr>
          <w:sz w:val="16"/>
        </w:rPr>
        <w:t>NVIDIA | 发布 2026-03-16 | 检索 2026-10-15 | official | read</w:t>
      </w:r>
    </w:p>
    <w:p>
      <w:pPr>
        <w:keepNext/>
      </w:pPr>
      <w:r>
        <w:t>证据范围 多芯片多机架平台、NVL72构成；宣称full production与伙伴下半年产品提供分开</w:t>
      </w:r>
    </w:p>
    <w:p>
      <w:r>
        <w:t>用于 AI 基础设施产业全景与 CASPA 参会研究；全景图与系统连接；计算架构与芯片设计；计算与设计公司地图</w:t>
      </w:r>
    </w:p>
    <w:p>
      <w:pPr>
        <w:keepNext/>
      </w:pPr>
      <w:r>
        <w:rPr>
          <w:b/>
        </w:rPr>
        <w:t xml:space="preserve">[R005] </w:t>
      </w:r>
      <w:hyperlink r:id="rId12">
        <w:r>
          <w:rPr>
            <w:color w:val="4338CA"/>
          </w:rPr>
          <w:t>AMD Instinct MI400 Series GPUs</w:t>
        </w:r>
      </w:hyperlink>
    </w:p>
    <w:p>
      <w:pPr>
        <w:keepNext/>
      </w:pPr>
      <w:r>
        <w:rPr>
          <w:sz w:val="16"/>
        </w:rPr>
        <w:t>AMD | 发布 未确认 | 检索 2026-10-15 | official | read</w:t>
      </w:r>
    </w:p>
    <w:p>
      <w:pPr>
        <w:keepNext/>
      </w:pPr>
      <w:r>
        <w:t>证据范围 MI455X HBM4规格、Helios72GPU参考设计、工程测算与提供时间口径</w:t>
      </w:r>
    </w:p>
    <w:p>
      <w:r>
        <w:t>用于 AI 基础设施产业全景与 CASPA 参会研究；计算架构与芯片设计；计算与设计公司地图</w:t>
      </w:r>
    </w:p>
    <w:p>
      <w:pPr>
        <w:keepNext/>
      </w:pPr>
      <w:r>
        <w:rPr>
          <w:b/>
        </w:rPr>
        <w:t xml:space="preserve">[R006] </w:t>
      </w:r>
      <w:hyperlink r:id="rId43">
        <w:r>
          <w:rPr>
            <w:color w:val="4338CA"/>
          </w:rPr>
          <w:t>TPU7x Ironwood specifications</w:t>
        </w:r>
      </w:hyperlink>
    </w:p>
    <w:p>
      <w:pPr>
        <w:keepNext/>
      </w:pPr>
      <w:r>
        <w:rPr>
          <w:sz w:val="16"/>
        </w:rPr>
        <w:t>Google Cloud | 发布 未确认 | 检索 2026-10-15 | official | read</w:t>
      </w:r>
    </w:p>
    <w:p>
      <w:pPr>
        <w:keepNext/>
      </w:pPr>
      <w:r>
        <w:t>证据范围 192GiB HBM、7380GB/s、ICI与DCN区分及VMEM/SRAM层级</w:t>
      </w:r>
    </w:p>
    <w:p>
      <w:r>
        <w:t>用于 全景图与系统连接；计算架构与芯片设计；计算与设计公司地图；社区异议与深入阅读</w:t>
      </w:r>
    </w:p>
    <w:p>
      <w:pPr>
        <w:keepNext/>
      </w:pPr>
      <w:r>
        <w:rPr>
          <w:b/>
        </w:rPr>
        <w:t xml:space="preserve">[R007] </w:t>
      </w:r>
      <w:hyperlink r:id="rId288">
        <w:r>
          <w:rPr>
            <w:color w:val="4338CA"/>
          </w:rPr>
          <w:t>Cerebras announces third generation wafer scale engine</w:t>
        </w:r>
      </w:hyperlink>
    </w:p>
    <w:p>
      <w:pPr>
        <w:keepNext/>
      </w:pPr>
      <w:r>
        <w:rPr>
          <w:sz w:val="16"/>
        </w:rPr>
        <w:t>Cerebras | 发布 2024-03-13 | 检索 2026-10-15 | official | read</w:t>
      </w:r>
    </w:p>
    <w:p>
      <w:pPr>
        <w:keepNext/>
      </w:pPr>
      <w:r>
        <w:t>证据范围 WSE-3厂商规格900000核44GB SRAM；网页页眉与正文日期有差异以正文发布日记</w:t>
      </w:r>
    </w:p>
    <w:p>
      <w:r>
        <w:t>用于 计算架构与芯片设计；计算与设计公司地图</w:t>
      </w:r>
    </w:p>
    <w:p>
      <w:pPr>
        <w:keepNext/>
      </w:pPr>
      <w:r>
        <w:rPr>
          <w:b/>
        </w:rPr>
        <w:t xml:space="preserve">[R008] </w:t>
      </w:r>
      <w:hyperlink r:id="rId292">
        <w:r>
          <w:rPr>
            <w:color w:val="4338CA"/>
          </w:rPr>
          <w:t>SambaNova SN40L Scaling the AI Memory Wall with Dataflow and Composition of Experts</w:t>
        </w:r>
      </w:hyperlink>
    </w:p>
    <w:p>
      <w:pPr>
        <w:keepNext/>
      </w:pPr>
      <w:r>
        <w:rPr>
          <w:sz w:val="16"/>
        </w:rPr>
        <w:t>SambaNova authors arXiv | 发布 2024-05-13 | 检索 2026-10-15 | paper | read</w:t>
      </w:r>
    </w:p>
    <w:p>
      <w:pPr>
        <w:keepNext/>
      </w:pPr>
      <w:r>
        <w:t>证据范围 SN40L RDU与dataflow和分层内存的论文说明，不代表当前所有型号</w:t>
      </w:r>
    </w:p>
    <w:p>
      <w:r>
        <w:t>用于 计算与设计公司地图；社区异议与深入阅读</w:t>
      </w:r>
    </w:p>
    <w:p>
      <w:pPr>
        <w:keepNext/>
      </w:pPr>
      <w:r>
        <w:rPr>
          <w:b/>
        </w:rPr>
        <w:t xml:space="preserve">[R009] </w:t>
      </w:r>
      <w:hyperlink r:id="rId293">
        <w:r>
          <w:rPr>
            <w:color w:val="4338CA"/>
          </w:rPr>
          <w:t>d-Matrix Corsair AI Inference Platform Enters Full Production</w:t>
        </w:r>
      </w:hyperlink>
    </w:p>
    <w:p>
      <w:pPr>
        <w:keepNext/>
      </w:pPr>
      <w:r>
        <w:rPr>
          <w:sz w:val="16"/>
        </w:rPr>
        <w:t>d-Matrix | 发布 2026-06-09 | 检索 2026-10-15 | official | read</w:t>
      </w:r>
    </w:p>
    <w:p>
      <w:pPr>
        <w:keepNext/>
      </w:pPr>
      <w:r>
        <w:t>证据范围 Corsair量产自述、N6/Alchip、有机基板SRAM DIMC与LPDDR5，以及qualified customers边界</w:t>
      </w:r>
    </w:p>
    <w:p>
      <w:r>
        <w:t>用于 计算与设计公司地图；社区异议与深入阅读</w:t>
      </w:r>
    </w:p>
    <w:p>
      <w:pPr>
        <w:keepNext/>
      </w:pPr>
      <w:r>
        <w:rPr>
          <w:b/>
        </w:rPr>
        <w:t xml:space="preserve">[R010] </w:t>
      </w:r>
      <w:hyperlink r:id="rId294">
        <w:r>
          <w:rPr>
            <w:color w:val="4338CA"/>
          </w:rPr>
          <w:t>Etched Frontier Inference Clusters current product page</w:t>
        </w:r>
      </w:hyperlink>
    </w:p>
    <w:p>
      <w:pPr>
        <w:keepNext/>
      </w:pPr>
      <w:r>
        <w:rPr>
          <w:sz w:val="16"/>
        </w:rPr>
        <w:t>Etched | 发布 未确认 | 检索 2026-10-15 | official | read</w:t>
      </w:r>
    </w:p>
    <w:p>
      <w:pPr>
        <w:keepNext/>
      </w:pPr>
      <w:r>
        <w:t>证据范围 当前官网A0回片/客户验证、LVI和HBM/SRAM CSM路线；不等同独立量产验证</w:t>
      </w:r>
    </w:p>
    <w:p>
      <w:r>
        <w:t>用于 计算与设计公司地图；社区异议与深入阅读</w:t>
      </w:r>
    </w:p>
    <w:p>
      <w:pPr>
        <w:keepNext/>
      </w:pPr>
      <w:r>
        <w:rPr>
          <w:b/>
        </w:rPr>
        <w:t xml:space="preserve">[R011] </w:t>
      </w:r>
      <w:hyperlink r:id="rId284">
        <w:r>
          <w:rPr>
            <w:color w:val="4338CA"/>
          </w:rPr>
          <w:t>Roofline An Insightful Visual Performance Model</w:t>
        </w:r>
      </w:hyperlink>
    </w:p>
    <w:p>
      <w:pPr>
        <w:keepNext/>
      </w:pPr>
      <w:r>
        <w:rPr>
          <w:sz w:val="16"/>
        </w:rPr>
        <w:t>Williams Waterman Patterson UC Berkeley | 发布 2009-03-01 | 检索 2026-10-15 | paper | search-excerpt</w:t>
      </w:r>
    </w:p>
    <w:p>
      <w:pPr>
        <w:keepNext/>
      </w:pPr>
      <w:r>
        <w:t xml:space="preserve">证据范围 Roofline框架中的运算强度、带宽与峰值计算关系；证据范围限于摘要</w:t>
      </w:r>
    </w:p>
    <w:p>
      <w:r>
        <w:t>用于 计算架构与芯片设计</w:t>
      </w:r>
    </w:p>
    <w:p>
      <w:pPr>
        <w:keepNext/>
      </w:pPr>
      <w:r>
        <w:rPr>
          <w:b/>
        </w:rPr>
        <w:t xml:space="preserve">[R012] </w:t>
      </w:r>
      <w:hyperlink r:id="rId46">
        <w:r>
          <w:rPr>
            <w:color w:val="4338CA"/>
          </w:rPr>
          <w:t>MLPerf Inference Datacenter benchmark rules and metrics</w:t>
        </w:r>
      </w:hyperlink>
    </w:p>
    <w:p>
      <w:pPr>
        <w:keepNext/>
      </w:pPr>
      <w:r>
        <w:rPr>
          <w:sz w:val="16"/>
        </w:rPr>
        <w:t>MLCommons | 发布 未确认 | 检索 2026-10-15 | standard | read</w:t>
      </w:r>
    </w:p>
    <w:p>
      <w:pPr>
        <w:keepNext/>
      </w:pPr>
      <w:r>
        <w:t>证据范围 场景/质量/可用性类别及墙插实测功率的解释</w:t>
      </w:r>
    </w:p>
    <w:p>
      <w:r>
        <w:t>用于 全景图与系统连接；计算与设计公司地图</w:t>
      </w:r>
    </w:p>
    <w:p>
      <w:pPr>
        <w:keepNext/>
      </w:pPr>
      <w:r>
        <w:rPr>
          <w:b/>
        </w:rPr>
        <w:t xml:space="preserve">[R013] </w:t>
      </w:r>
      <w:hyperlink r:id="rId36">
        <w:r>
          <w:rPr>
            <w:color w:val="4338CA"/>
          </w:rPr>
          <w:t>Efficient Memory Management for Large Language Model Serving with PagedAttention</w:t>
        </w:r>
      </w:hyperlink>
    </w:p>
    <w:p>
      <w:pPr>
        <w:keepNext/>
      </w:pPr>
      <w:r>
        <w:rPr>
          <w:sz w:val="16"/>
        </w:rPr>
        <w:t>Kwon et al arXiv SOSP 2023 | 发布 2023-09-12 | 检索 2026-10-15 | paper | read</w:t>
      </w:r>
    </w:p>
    <w:p>
      <w:pPr>
        <w:keepNext/>
      </w:pPr>
      <w:r>
        <w:t>证据范围 KV cache分页与共享、调度共同影响服务内存效率</w:t>
      </w:r>
    </w:p>
    <w:p>
      <w:r>
        <w:t>用于 全景图与系统连接；计算架构与芯片设计</w:t>
      </w:r>
    </w:p>
    <w:p>
      <w:pPr>
        <w:keepNext/>
      </w:pPr>
      <w:r>
        <w:rPr>
          <w:b/>
        </w:rPr>
        <w:t xml:space="preserve">[R014] </w:t>
      </w:r>
      <w:hyperlink r:id="rId37">
        <w:r>
          <w:rPr>
            <w:color w:val="4338CA"/>
          </w:rPr>
          <w:t>Inside vLLM Anatomy of a High Throughput LLM Inference System</w:t>
        </w:r>
      </w:hyperlink>
    </w:p>
    <w:p>
      <w:pPr>
        <w:keepNext/>
      </w:pPr>
      <w:r>
        <w:rPr>
          <w:sz w:val="16"/>
        </w:rPr>
        <w:t>vLLM | 发布 2025-09-05 | 检索 2026-10-15 | official | search-excerpt</w:t>
      </w:r>
    </w:p>
    <w:p>
      <w:pPr>
        <w:keepNext/>
      </w:pPr>
      <w:r>
        <w:t>证据范围 prefill/decode、连续批处理、缓存及分布式服务执行路径</w:t>
      </w:r>
    </w:p>
    <w:p>
      <w:r>
        <w:t>用于 全景图与系统连接；计算架构与芯片设计</w:t>
      </w:r>
    </w:p>
    <w:p>
      <w:pPr>
        <w:keepNext/>
      </w:pPr>
      <w:r>
        <w:rPr>
          <w:b/>
        </w:rPr>
        <w:t xml:space="preserve">[R015] </w:t>
      </w:r>
      <w:hyperlink r:id="rId285">
        <w:r>
          <w:rPr>
            <w:color w:val="4338CA"/>
          </w:rPr>
          <w:t>Amazon EC2 Trn3 UltraServers</w:t>
        </w:r>
      </w:hyperlink>
    </w:p>
    <w:p>
      <w:pPr>
        <w:keepNext/>
      </w:pPr>
      <w:r>
        <w:rPr>
          <w:sz w:val="16"/>
        </w:rPr>
        <w:t>AWS | 发布 未确认 | 检索 2026-10-15 | official | read</w:t>
      </w:r>
    </w:p>
    <w:p>
      <w:pPr>
        <w:keepNext/>
      </w:pPr>
      <w:r>
        <w:t>证据范围 Trainium3与Trn3的云系统定位及软件/系统入口</w:t>
      </w:r>
    </w:p>
    <w:p>
      <w:r>
        <w:t>用于 计算架构与芯片设计；计算与设计公司地图</w:t>
      </w:r>
    </w:p>
    <w:p>
      <w:pPr>
        <w:keepNext/>
      </w:pPr>
      <w:r>
        <w:rPr>
          <w:b/>
        </w:rPr>
        <w:t xml:space="preserve">[R016] </w:t>
      </w:r>
      <w:hyperlink r:id="rId286">
        <w:r>
          <w:rPr>
            <w:color w:val="4338CA"/>
          </w:rPr>
          <w:t>Altera FPGA products</w:t>
        </w:r>
      </w:hyperlink>
    </w:p>
    <w:p>
      <w:pPr>
        <w:keepNext/>
      </w:pPr>
      <w:r>
        <w:rPr>
          <w:sz w:val="16"/>
        </w:rPr>
        <w:t>Altera | 发布 未确认 | 检索 2026-10-15 | official | read</w:t>
      </w:r>
    </w:p>
    <w:p>
      <w:pPr>
        <w:keepNext/>
      </w:pPr>
      <w:r>
        <w:t>证据范围 Agilex及FPGA、接口、内存控制器与软件产品分类</w:t>
      </w:r>
    </w:p>
    <w:p>
      <w:r>
        <w:t>用于 计算架构与芯片设计；计算与设计公司地图</w:t>
      </w:r>
    </w:p>
    <w:p>
      <w:pPr>
        <w:keepNext/>
      </w:pPr>
      <w:r>
        <w:rPr>
          <w:b/>
        </w:rPr>
        <w:t xml:space="preserve">[R017] </w:t>
      </w:r>
      <w:hyperlink r:id="rId290">
        <w:r>
          <w:rPr>
            <w:color w:val="4338CA"/>
          </w:rPr>
          <w:t>DSO.ai AI Driven Design Applications</w:t>
        </w:r>
      </w:hyperlink>
    </w:p>
    <w:p>
      <w:pPr>
        <w:keepNext/>
      </w:pPr>
      <w:r>
        <w:rPr>
          <w:sz w:val="16"/>
        </w:rPr>
        <w:t>Synopsys | 发布 未确认 | 检索 2026-10-15 | official | read</w:t>
      </w:r>
    </w:p>
    <w:p>
      <w:pPr>
        <w:keepNext/>
      </w:pPr>
      <w:r>
        <w:t>证据范围 强化学习设计空间PPA优化及多die热电信号协同</w:t>
      </w:r>
    </w:p>
    <w:p>
      <w:r>
        <w:t>用于 计算架构与芯片设计；计算与设计公司地图</w:t>
      </w:r>
    </w:p>
    <w:p>
      <w:pPr>
        <w:keepNext/>
      </w:pPr>
      <w:r>
        <w:rPr>
          <w:b/>
        </w:rPr>
        <w:t xml:space="preserve">[R018] </w:t>
      </w:r>
      <w:hyperlink r:id="rId291">
        <w:r>
          <w:rPr>
            <w:color w:val="4338CA"/>
          </w:rPr>
          <w:t>Cadence Cerebrus Intelligent Chip Explorer</w:t>
        </w:r>
      </w:hyperlink>
    </w:p>
    <w:p>
      <w:pPr>
        <w:keepNext/>
      </w:pPr>
      <w:r>
        <w:rPr>
          <w:sz w:val="16"/>
        </w:rPr>
        <w:t>Cadence | 发布 未确认 | 检索 2026-10-15 | official | read</w:t>
      </w:r>
    </w:p>
    <w:p>
      <w:pPr>
        <w:keepNext/>
      </w:pPr>
      <w:r>
        <w:t>证据范围 设计流程优化、强化学习与PPA目标，收益为厂商陈述</w:t>
      </w:r>
    </w:p>
    <w:p>
      <w:r>
        <w:t>用于 计算架构与芯片设计；计算与设计公司地图</w:t>
      </w:r>
    </w:p>
    <w:p>
      <w:pPr>
        <w:keepNext/>
      </w:pPr>
      <w:r>
        <w:rPr>
          <w:b/>
        </w:rPr>
        <w:t xml:space="preserve">[R019] </w:t>
      </w:r>
      <w:hyperlink r:id="rId287">
        <w:r>
          <w:rPr>
            <w:color w:val="4338CA"/>
          </w:rPr>
          <w:t>Calibre PERC and 3DPERC</w:t>
        </w:r>
      </w:hyperlink>
    </w:p>
    <w:p>
      <w:pPr>
        <w:keepNext/>
      </w:pPr>
      <w:r>
        <w:rPr>
          <w:sz w:val="16"/>
        </w:rPr>
        <w:t>Siemens EDA | 发布 未确认 | 检索 2026-10-15 | official | search-excerpt</w:t>
      </w:r>
    </w:p>
    <w:p>
      <w:pPr>
        <w:keepNext/>
      </w:pPr>
      <w:r>
        <w:t xml:space="preserve">证据范围 电路与版图可靠性验证类别；证据范围限于摘要</w:t>
      </w:r>
    </w:p>
    <w:p>
      <w:r>
        <w:t>用于 计算架构与芯片设计；计算与设计公司地图</w:t>
      </w:r>
    </w:p>
    <w:p>
      <w:pPr>
        <w:keepNext/>
      </w:pPr>
      <w:r>
        <w:rPr>
          <w:b/>
        </w:rPr>
        <w:t xml:space="preserve">[R020] </w:t>
      </w:r>
      <w:hyperlink r:id="rId14">
        <w:r>
          <w:rPr>
            <w:color w:val="4338CA"/>
          </w:rPr>
          <w:t>SemiAnalysis Models and Research</w:t>
        </w:r>
      </w:hyperlink>
    </w:p>
    <w:p>
      <w:pPr>
        <w:keepNext/>
      </w:pPr>
      <w:r>
        <w:rPr>
          <w:sz w:val="16"/>
        </w:rPr>
        <w:t>SemiAnalysis | 发布 未确认 | 检索 2026-10-15 | analysis | read</w:t>
      </w:r>
    </w:p>
    <w:p>
      <w:pPr>
        <w:keepNext/>
      </w:pPr>
      <w:r>
        <w:t>证据范围 公开说明TCO网络数据中心模型结构与连接比例方法；未访问付费模型</w:t>
      </w:r>
    </w:p>
    <w:p>
      <w:r>
        <w:t>用于 AI 基础设施产业全景与 CASPA 参会研究；全景图与系统连接；社区异议与深入阅读</w:t>
      </w:r>
    </w:p>
    <w:p>
      <w:pPr>
        <w:keepNext/>
      </w:pPr>
      <w:r>
        <w:rPr>
          <w:b/>
        </w:rPr>
        <w:t xml:space="preserve">[R021] </w:t>
      </w:r>
      <w:hyperlink r:id="rId15">
        <w:r>
          <w:rPr>
            <w:color w:val="4338CA"/>
          </w:rPr>
          <w:t>AI Capex Surge Bottlenecks And The Race For ROI</w:t>
        </w:r>
      </w:hyperlink>
    </w:p>
    <w:p>
      <w:pPr>
        <w:keepNext/>
      </w:pPr>
      <w:r>
        <w:rPr>
          <w:sz w:val="16"/>
        </w:rPr>
        <w:t>Seeking Alpha podcast Rena Sherbill Amrita Roy Uttam Dey | 发布 未确认 | 检索 2026-10-15 | analysis | read</w:t>
      </w:r>
    </w:p>
    <w:p>
      <w:pPr>
        <w:keepNext/>
      </w:pPr>
      <w:r>
        <w:t>证据范围 公开访谈对毛利率、库存、订单及ROI的分析问题；不采纳目标价</w:t>
      </w:r>
    </w:p>
    <w:p>
      <w:r>
        <w:t>用于 AI 基础设施产业全景与 CASPA 参会研究；技术壁垒与投资验证；社区异议与深入阅读</w:t>
      </w:r>
    </w:p>
    <w:p>
      <w:pPr>
        <w:keepNext/>
      </w:pPr>
      <w:r>
        <w:rPr>
          <w:b/>
        </w:rPr>
        <w:t xml:space="preserve">[R022] </w:t>
      </w:r>
      <w:hyperlink r:id="rId295">
        <w:r>
          <w:rPr>
            <w:color w:val="4338CA"/>
          </w:rPr>
          <w:t>Rebellions current products and infrastructure</w:t>
        </w:r>
      </w:hyperlink>
    </w:p>
    <w:p>
      <w:pPr>
        <w:keepNext/>
      </w:pPr>
      <w:r>
        <w:rPr>
          <w:sz w:val="16"/>
        </w:rPr>
        <w:t>Rebellions | 发布 未确认 | 检索 2026-10-15 | official | read</w:t>
      </w:r>
    </w:p>
    <w:p>
      <w:pPr>
        <w:keepNext/>
      </w:pPr>
      <w:r>
        <w:t>证据范围 Rebel100/Server/Rack/POD及SDK入口，生产部署为厂商自述</w:t>
      </w:r>
    </w:p>
    <w:p>
      <w:r>
        <w:t>用于 计算与设计公司地图</w:t>
      </w:r>
    </w:p>
    <w:p>
      <w:pPr>
        <w:keepNext/>
      </w:pPr>
      <w:r>
        <w:rPr>
          <w:b/>
        </w:rPr>
        <w:t xml:space="preserve">[R023] </w:t>
      </w:r>
      <w:hyperlink r:id="rId296">
        <w:r>
          <w:rPr>
            <w:color w:val="4338CA"/>
          </w:rPr>
          <w:t>SiMa.ai MLSoC family</w:t>
        </w:r>
      </w:hyperlink>
    </w:p>
    <w:p>
      <w:pPr>
        <w:keepNext/>
      </w:pPr>
      <w:r>
        <w:rPr>
          <w:sz w:val="16"/>
        </w:rPr>
        <w:t>SiMa.ai | 发布 未确认 | 检索 2026-10-15 | official | read</w:t>
      </w:r>
    </w:p>
    <w:p>
      <w:pPr>
        <w:keepNext/>
      </w:pPr>
      <w:r>
        <w:t>证据范围 Modalix edge/physical AI与SoM/PCIe/devkit形态</w:t>
      </w:r>
    </w:p>
    <w:p>
      <w:r>
        <w:t>用于 计算与设计公司地图；社区异议与深入阅读</w:t>
      </w:r>
    </w:p>
    <w:p>
      <w:pPr>
        <w:keepNext/>
      </w:pPr>
      <w:r>
        <w:rPr>
          <w:b/>
        </w:rPr>
        <w:t xml:space="preserve">[R024] </w:t>
      </w:r>
      <w:hyperlink r:id="rId297">
        <w:r>
          <w:rPr>
            <w:color w:val="4338CA"/>
          </w:rPr>
          <w:t>Normal ASICs Physics Based Architecture</w:t>
        </w:r>
      </w:hyperlink>
    </w:p>
    <w:p>
      <w:pPr>
        <w:keepNext/>
      </w:pPr>
      <w:r>
        <w:rPr>
          <w:sz w:val="16"/>
        </w:rPr>
        <w:t>Normal Computing | 发布 未确认 | 检索 2026-10-15 | official | read</w:t>
      </w:r>
    </w:p>
    <w:p>
      <w:pPr>
        <w:keepNext/>
      </w:pPr>
      <w:r>
        <w:t>证据范围 热力学/随机计算定位CN101与后续路线；页内benchmarking和roadmap边界</w:t>
      </w:r>
    </w:p>
    <w:p>
      <w:r>
        <w:t>用于 计算与设计公司地图</w:t>
      </w:r>
    </w:p>
    <w:p>
      <w:pPr>
        <w:keepNext/>
      </w:pPr>
      <w:r>
        <w:rPr>
          <w:b/>
        </w:rPr>
        <w:t xml:space="preserve">[R025] </w:t>
      </w:r>
      <w:hyperlink r:id="rId298">
        <w:r>
          <w:rPr>
            <w:color w:val="4338CA"/>
          </w:rPr>
          <w:t>Unconventional AI official homepage</w:t>
        </w:r>
      </w:hyperlink>
    </w:p>
    <w:p>
      <w:pPr>
        <w:keepNext/>
      </w:pPr>
      <w:r>
        <w:rPr>
          <w:sz w:val="16"/>
        </w:rPr>
        <w:t>Unconventional AI | 发布 未确认 | 检索 2026-10-15 | official | read</w:t>
      </w:r>
    </w:p>
    <w:p>
      <w:pPr>
        <w:keepNext/>
      </w:pPr>
      <w:r>
        <w:t>证据范围 硬件算法共同演化定位；公开信息不足以作量产规格比较</w:t>
      </w:r>
    </w:p>
    <w:p>
      <w:r>
        <w:t>用于 计算与设计公司地图</w:t>
      </w:r>
    </w:p>
    <w:p>
      <w:pPr>
        <w:keepNext/>
      </w:pPr>
      <w:r>
        <w:rPr>
          <w:b/>
        </w:rPr>
        <w:t xml:space="preserve">[R026] </w:t>
      </w:r>
      <w:hyperlink r:id="rId299">
        <w:r>
          <w:rPr>
            <w:color w:val="4338CA"/>
          </w:rPr>
          <w:t>Ricursive Intelligence Recursive Self Improvement</w:t>
        </w:r>
      </w:hyperlink>
    </w:p>
    <w:p>
      <w:pPr>
        <w:keepNext/>
      </w:pPr>
      <w:r>
        <w:rPr>
          <w:sz w:val="16"/>
        </w:rPr>
        <w:t>Ricursive Intelligence | 发布 未确认 | 检索 2026-10-15 | official | read</w:t>
      </w:r>
    </w:p>
    <w:p>
      <w:pPr>
        <w:keepNext/>
      </w:pPr>
      <w:r>
        <w:t>证据范围 AI for chip design与chip design for AI定位</w:t>
      </w:r>
    </w:p>
    <w:p>
      <w:r>
        <w:t>用于 计算与设计公司地图</w:t>
      </w:r>
    </w:p>
    <w:p>
      <w:pPr>
        <w:keepNext/>
      </w:pPr>
      <w:r>
        <w:rPr>
          <w:b/>
        </w:rPr>
        <w:t xml:space="preserve">[R027] </w:t>
      </w:r>
      <w:hyperlink r:id="rId300">
        <w:r>
          <w:rPr>
            <w:color w:val="4338CA"/>
          </w:rPr>
          <w:t>Cognichip About ACI</w:t>
        </w:r>
      </w:hyperlink>
    </w:p>
    <w:p>
      <w:pPr>
        <w:keepNext/>
      </w:pPr>
      <w:r>
        <w:rPr>
          <w:sz w:val="16"/>
        </w:rPr>
        <w:t>Cognichip | 发布 未确认 | 检索 2026-10-15 | official | read</w:t>
      </w:r>
    </w:p>
    <w:p>
      <w:pPr>
        <w:keepNext/>
      </w:pPr>
      <w:r>
        <w:t>证据范围 ACI与physics-informed foundation model定位及IP保护自述</w:t>
      </w:r>
    </w:p>
    <w:p>
      <w:r>
        <w:t>用于 计算与设计公司地图</w:t>
      </w:r>
    </w:p>
    <w:p>
      <w:pPr>
        <w:keepNext/>
      </w:pPr>
      <w:r>
        <w:rPr>
          <w:b/>
        </w:rPr>
        <w:t xml:space="preserve">[R028] </w:t>
      </w:r>
      <w:hyperlink r:id="rId309">
        <w:r>
          <w:rPr>
            <w:color w:val="4338CA"/>
          </w:rPr>
          <w:t>Arm Neoverse CSS N4</w:t>
        </w:r>
      </w:hyperlink>
    </w:p>
    <w:p>
      <w:pPr>
        <w:keepNext/>
      </w:pPr>
      <w:r>
        <w:rPr>
          <w:sz w:val="16"/>
        </w:rPr>
        <w:t>Arm | 发布 未确认 | 检索 2026-10-15 | official | read</w:t>
      </w:r>
    </w:p>
    <w:p>
      <w:pPr>
        <w:keepNext/>
      </w:pPr>
      <w:r>
        <w:t>证据范围 CPU子系统、Neoverse平台及AGI CPU产品入口</w:t>
      </w:r>
    </w:p>
    <w:p>
      <w:r>
        <w:t>用于 计算与设计公司地图</w:t>
      </w:r>
    </w:p>
    <w:p>
      <w:pPr>
        <w:keepNext/>
      </w:pPr>
      <w:r>
        <w:rPr>
          <w:b/>
        </w:rPr>
        <w:t xml:space="preserve">[R029] </w:t>
      </w:r>
      <w:hyperlink r:id="rId319">
        <w:r>
          <w:rPr>
            <w:color w:val="4338CA"/>
          </w:rPr>
          <w:t>ValueInvesting comment Educational Play 465 on sustaining versus growth CapEx</w:t>
        </w:r>
      </w:hyperlink>
    </w:p>
    <w:p>
      <w:pPr>
        <w:keepNext/>
      </w:pPr>
      <w:r>
        <w:rPr>
          <w:sz w:val="16"/>
        </w:rPr>
        <w:t>Reddit anonymous user | 发布 2026-08-10 | 检索 2026-10-15 | forum | read</w:t>
      </w:r>
    </w:p>
    <w:p>
      <w:pPr>
        <w:keepNext/>
      </w:pPr>
      <w:r>
        <w:t>证据范围 匿名评论关于维持与增长资本支出分拆的建议，不证明财务数字或GPU寿命</w:t>
      </w:r>
    </w:p>
    <w:p>
      <w:r>
        <w:t>用于 社区异议与深入阅读</w:t>
      </w:r>
    </w:p>
    <w:p>
      <w:pPr>
        <w:keepNext/>
      </w:pPr>
      <w:r>
        <w:rPr>
          <w:b/>
        </w:rPr>
        <w:t xml:space="preserve">[R030] </w:t>
      </w:r>
      <w:hyperlink r:id="rId320">
        <w:r>
          <w:rPr>
            <w:color w:val="4338CA"/>
          </w:rPr>
          <w:t>chipdesign saw235 comment on waveform debug and AI verification</w:t>
        </w:r>
      </w:hyperlink>
    </w:p>
    <w:p>
      <w:pPr>
        <w:keepNext/>
      </w:pPr>
      <w:r>
        <w:rPr>
          <w:sz w:val="16"/>
        </w:rPr>
        <w:t>Reddit anonymous user | 发布 未确认 | 检索 2026-10-15 | forum | read</w:t>
      </w:r>
    </w:p>
    <w:p>
      <w:pPr>
        <w:keepNext/>
      </w:pPr>
      <w:r>
        <w:t>证据范围 匿名自述波形debug与报告生成体验，仅转成验证问题；评论精确日期不明</w:t>
      </w:r>
    </w:p>
    <w:p>
      <w:r>
        <w:t>用于 社区异议与深入阅读</w:t>
      </w:r>
    </w:p>
    <w:p>
      <w:pPr>
        <w:keepNext/>
      </w:pPr>
      <w:r>
        <w:rPr>
          <w:b/>
        </w:rPr>
        <w:t xml:space="preserve">[R031] </w:t>
      </w:r>
      <w:hyperlink r:id="rId321">
        <w:r>
          <w:rPr>
            <w:color w:val="4338CA"/>
          </w:rPr>
          <w:t>LocalLLaMA Meet Sohu discussion</w:t>
        </w:r>
      </w:hyperlink>
    </w:p>
    <w:p>
      <w:pPr>
        <w:keepNext/>
      </w:pPr>
      <w:r>
        <w:rPr>
          <w:sz w:val="16"/>
        </w:rPr>
        <w:t>Reddit community | 发布 2024-06-25 | 检索 2026-10-15 | forum | read</w:t>
      </w:r>
    </w:p>
    <w:p>
      <w:pPr>
        <w:keepNext/>
      </w:pPr>
      <w:r>
        <w:t>证据范围 专用ASIC的模型假设与测试条件争议；不使用旧宣传倍数当当前实绩</w:t>
      </w:r>
    </w:p>
    <w:p>
      <w:r>
        <w:t>用于 社区异议与深入阅读</w:t>
      </w:r>
    </w:p>
    <w:p>
      <w:pPr>
        <w:keepNext/>
      </w:pPr>
      <w:r>
        <w:rPr>
          <w:b/>
        </w:rPr>
        <w:t xml:space="preserve">[R032] </w:t>
      </w:r>
      <w:hyperlink r:id="rId289">
        <w:r>
          <w:rPr>
            <w:color w:val="4338CA"/>
          </w:rPr>
          <w:t>NVIDIA DGX Vera Rubin NVL72 datasheet</w:t>
        </w:r>
      </w:hyperlink>
    </w:p>
    <w:p>
      <w:pPr>
        <w:keepNext/>
      </w:pPr>
      <w:r>
        <w:rPr>
          <w:sz w:val="16"/>
        </w:rPr>
        <w:t>NVIDIA | 发布 未确认 | 检索 2026-10-15 | official | search-excerpt</w:t>
      </w:r>
    </w:p>
    <w:p>
      <w:pPr>
        <w:keepNext/>
      </w:pPr>
      <w:r>
        <w:t>证据范围 不同系统资料的规格和口径需依文档版本逐项核查</w:t>
      </w:r>
    </w:p>
    <w:p>
      <w:r>
        <w:t>用于 计算架构与芯片设计</w:t>
      </w:r>
    </w:p>
    <w:p>
      <w:pPr>
        <w:keepNext/>
      </w:pPr>
      <w:r>
        <w:rPr>
          <w:b/>
        </w:rPr>
        <w:t xml:space="preserve">[R033] </w:t>
      </w:r>
      <w:hyperlink r:id="rId301">
        <w:r>
          <w:rPr>
            <w:color w:val="4338CA"/>
          </w:rPr>
          <w:t>Intel Xeon 6 ARK products</w:t>
        </w:r>
      </w:hyperlink>
    </w:p>
    <w:p>
      <w:pPr>
        <w:keepNext/>
      </w:pPr>
      <w:r>
        <w:rPr>
          <w:sz w:val="16"/>
        </w:rPr>
        <w:t>Intel | 发布 未确认 | 检索 2026-10-15 | official | search-excerpt</w:t>
      </w:r>
    </w:p>
    <w:p>
      <w:pPr>
        <w:keepNext/>
      </w:pPr>
      <w:r>
        <w:t>证据范围 Xeon CPU产品类别，不声称单一最新型号或客户关系</w:t>
      </w:r>
    </w:p>
    <w:p>
      <w:r>
        <w:t>用于 计算与设计公司地图</w:t>
      </w:r>
    </w:p>
    <w:p>
      <w:pPr>
        <w:keepNext/>
      </w:pPr>
      <w:r>
        <w:rPr>
          <w:b/>
        </w:rPr>
        <w:t xml:space="preserve">[R034] </w:t>
      </w:r>
      <w:hyperlink r:id="rId304">
        <w:r>
          <w:rPr>
            <w:color w:val="4338CA"/>
          </w:rPr>
          <w:t>昇腾产品形态说明</w:t>
        </w:r>
      </w:hyperlink>
    </w:p>
    <w:p>
      <w:pPr>
        <w:keepNext/>
      </w:pPr>
      <w:r>
        <w:rPr>
          <w:sz w:val="16"/>
        </w:rPr>
        <w:t>华为昇腾社区 | 发布 未确认 | 检索 2026-10-15 | official | search-excerpt</w:t>
      </w:r>
    </w:p>
    <w:p>
      <w:pPr>
        <w:keepNext/>
      </w:pPr>
      <w:r>
        <w:t>证据范围 昇腾训练推理芯片与Atlas产品类别；未验证所有型号可购性</w:t>
      </w:r>
    </w:p>
    <w:p>
      <w:r>
        <w:t>用于 计算与设计公司地图</w:t>
      </w:r>
    </w:p>
    <w:p>
      <w:pPr>
        <w:keepNext/>
      </w:pPr>
      <w:r>
        <w:rPr>
          <w:b/>
        </w:rPr>
        <w:t xml:space="preserve">[R035] </w:t>
      </w:r>
      <w:hyperlink r:id="rId305">
        <w:r>
          <w:rPr>
            <w:color w:val="4338CA"/>
          </w:rPr>
          <w:t>寒武纪产品技术</w:t>
        </w:r>
      </w:hyperlink>
    </w:p>
    <w:p>
      <w:pPr>
        <w:keepNext/>
      </w:pPr>
      <w:r>
        <w:rPr>
          <w:sz w:val="16"/>
        </w:rPr>
        <w:t>寒武纪 | 发布 未确认 | 检索 2026-10-15 | official | read</w:t>
      </w:r>
    </w:p>
    <w:p>
      <w:pPr>
        <w:keepNext/>
      </w:pPr>
      <w:r>
        <w:t>证据范围 思元加速卡与NeuWare等公开产品类别，首页有旧内容不可当最新旗舰目录</w:t>
      </w:r>
    </w:p>
    <w:p>
      <w:r>
        <w:t>用于 计算与设计公司地图</w:t>
      </w:r>
    </w:p>
    <w:p>
      <w:pPr>
        <w:keepNext/>
      </w:pPr>
      <w:r>
        <w:rPr>
          <w:b/>
        </w:rPr>
        <w:t xml:space="preserve">[R036] </w:t>
      </w:r>
      <w:hyperlink r:id="rId306">
        <w:r>
          <w:rPr>
            <w:color w:val="4338CA"/>
          </w:rPr>
          <w:t>MTT S5000 Linux服务器驱动产品介绍</w:t>
        </w:r>
      </w:hyperlink>
    </w:p>
    <w:p>
      <w:pPr>
        <w:keepNext/>
      </w:pPr>
      <w:r>
        <w:rPr>
          <w:sz w:val="16"/>
        </w:rPr>
        <w:t>摩尔线程 | 发布 未确认 | 检索 2026-10-15 | official | search-excerpt</w:t>
      </w:r>
    </w:p>
    <w:p>
      <w:pPr>
        <w:keepNext/>
      </w:pPr>
      <w:r>
        <w:t xml:space="preserve">证据范围 MTT S5000与S4000产品类别与文档范围；证据限于公开摘要</w:t>
      </w:r>
    </w:p>
    <w:p>
      <w:r>
        <w:t>用于 计算与设计公司地图</w:t>
      </w:r>
    </w:p>
    <w:p>
      <w:pPr>
        <w:keepNext/>
      </w:pPr>
      <w:r>
        <w:rPr>
          <w:b/>
        </w:rPr>
        <w:t xml:space="preserve">[R037] </w:t>
      </w:r>
      <w:hyperlink r:id="rId307">
        <w:r>
          <w:rPr>
            <w:color w:val="4338CA"/>
          </w:rPr>
          <w:t>昆仑芯产品信息</w:t>
        </w:r>
      </w:hyperlink>
    </w:p>
    <w:p>
      <w:pPr>
        <w:keepNext/>
      </w:pPr>
      <w:r>
        <w:rPr>
          <w:sz w:val="16"/>
        </w:rPr>
        <w:t>昆仑芯 | 发布 未确认 | 检索 2026-10-15 | official | read</w:t>
      </w:r>
    </w:p>
    <w:p>
      <w:pPr>
        <w:keepNext/>
      </w:pPr>
      <w:r>
        <w:t>证据范围 AI芯片与加速卡类别；官网首页可能不含全部新产品</w:t>
      </w:r>
    </w:p>
    <w:p>
      <w:r>
        <w:t>用于 计算与设计公司地图</w:t>
      </w:r>
    </w:p>
    <w:p>
      <w:pPr>
        <w:keepNext/>
      </w:pPr>
      <w:r>
        <w:rPr>
          <w:b/>
        </w:rPr>
        <w:t xml:space="preserve">[R038] </w:t>
      </w:r>
      <w:hyperlink r:id="rId308">
        <w:r>
          <w:rPr>
            <w:color w:val="4338CA"/>
          </w:rPr>
          <w:t>壁仞科技产品与软件平台</w:t>
        </w:r>
      </w:hyperlink>
    </w:p>
    <w:p>
      <w:pPr>
        <w:keepNext/>
      </w:pPr>
      <w:r>
        <w:rPr>
          <w:sz w:val="16"/>
        </w:rPr>
        <w:t>壁仞科技 | 发布 未确认 | 检索 2026-10-15 | official | read</w:t>
      </w:r>
    </w:p>
    <w:p>
      <w:pPr>
        <w:keepNext/>
      </w:pPr>
      <w:r>
        <w:t>证据范围 壁砺OAM模组/加速卡及BIRENSUPA平台类别，部署为自述</w:t>
      </w:r>
    </w:p>
    <w:p>
      <w:r>
        <w:t>用于 计算与设计公司地图</w:t>
      </w:r>
    </w:p>
    <w:p>
      <w:pPr>
        <w:keepNext/>
      </w:pPr>
      <w:r>
        <w:rPr>
          <w:b/>
        </w:rPr>
        <w:t xml:space="preserve">[R039] </w:t>
      </w:r>
      <w:hyperlink r:id="rId314">
        <w:r>
          <w:rPr>
            <w:color w:val="4338CA"/>
          </w:rPr>
          <w:t>Fortinet Secure Processors FortiASIC</w:t>
        </w:r>
      </w:hyperlink>
    </w:p>
    <w:p>
      <w:pPr>
        <w:keepNext/>
      </w:pPr>
      <w:r>
        <w:rPr>
          <w:sz w:val="16"/>
        </w:rPr>
        <w:t>Fortinet | 发布 未确认 | 检索 2026-10-15 | official | read</w:t>
      </w:r>
    </w:p>
    <w:p>
      <w:pPr>
        <w:keepNext/>
      </w:pPr>
      <w:r>
        <w:t>证据范围 安全与网络处理器定位，不等同训练后端fabric</w:t>
      </w:r>
    </w:p>
    <w:p>
      <w:r>
        <w:t>用于 CASPA 会议与公司对应</w:t>
      </w:r>
    </w:p>
    <w:p>
      <w:pPr>
        <w:keepNext/>
      </w:pPr>
      <w:r>
        <w:rPr>
          <w:b/>
        </w:rPr>
        <w:t xml:space="preserve">[R040] </w:t>
      </w:r>
      <w:hyperlink r:id="rId315">
        <w:r>
          <w:rPr>
            <w:color w:val="4338CA"/>
          </w:rPr>
          <w:t>Rambus Interface IP</w:t>
        </w:r>
      </w:hyperlink>
    </w:p>
    <w:p>
      <w:pPr>
        <w:keepNext/>
      </w:pPr>
      <w:r>
        <w:rPr>
          <w:sz w:val="16"/>
        </w:rPr>
        <w:t>Rambus | 发布 未确认 | 检索 2026-10-15 | official | read</w:t>
      </w:r>
    </w:p>
    <w:p>
      <w:pPr>
        <w:keepNext/>
      </w:pPr>
      <w:r>
        <w:t>证据范围 接口IP类别及内存/连接生态位置</w:t>
      </w:r>
    </w:p>
    <w:p>
      <w:r>
        <w:t>用于 CASPA 会议与公司对应</w:t>
      </w:r>
    </w:p>
    <w:p>
      <w:pPr>
        <w:keepNext/>
      </w:pPr>
      <w:r>
        <w:rPr>
          <w:b/>
        </w:rPr>
        <w:t xml:space="preserve">[R041] </w:t>
      </w:r>
      <w:hyperlink r:id="rId316">
        <w:r>
          <w:rPr>
            <w:color w:val="4338CA"/>
          </w:rPr>
          <w:t>Silvaco official site</w:t>
        </w:r>
      </w:hyperlink>
    </w:p>
    <w:p>
      <w:pPr>
        <w:keepNext/>
      </w:pPr>
      <w:r>
        <w:rPr>
          <w:sz w:val="16"/>
        </w:rPr>
        <w:t>Silvaco | 发布 未确认 | 检索 2026-10-15 | official | search-excerpt</w:t>
      </w:r>
    </w:p>
    <w:p>
      <w:pPr>
        <w:keepNext/>
      </w:pPr>
      <w:r>
        <w:t xml:space="preserve">证据范围 设计工具生态入口；不支持具体产品性能结论</w:t>
      </w:r>
    </w:p>
    <w:p>
      <w:r>
        <w:t>用于 CASPA 会议与公司对应</w:t>
      </w:r>
    </w:p>
    <w:p>
      <w:pPr>
        <w:keepNext/>
      </w:pPr>
      <w:r>
        <w:rPr>
          <w:b/>
        </w:rPr>
        <w:t xml:space="preserve">[R042] </w:t>
      </w:r>
      <w:hyperlink r:id="rId322">
        <w:r>
          <w:rPr>
            <w:color w:val="4338CA"/>
          </w:rPr>
          <w:t>Asianometry and Dylan Patel How the semiconductor industry actually works</w:t>
        </w:r>
      </w:hyperlink>
    </w:p>
    <w:p>
      <w:pPr>
        <w:keepNext/>
      </w:pPr>
      <w:r>
        <w:rPr>
          <w:sz w:val="16"/>
        </w:rPr>
        <w:t>Dwarkesh Podcast | 发布 2024-10-02 | 检索 2026-10-15 | analysis | read</w:t>
      </w:r>
    </w:p>
    <w:p>
      <w:pPr>
        <w:keepNext/>
      </w:pPr>
      <w:r>
        <w:t>证据范围 播客主题、原始时间索引与相关transcript段落，历史数据不当2026事实</w:t>
      </w:r>
    </w:p>
    <w:p>
      <w:r>
        <w:t>用于 社区异议与深入阅读</w:t>
      </w:r>
    </w:p>
    <w:p>
      <w:pPr>
        <w:keepNext/>
      </w:pPr>
      <w:r>
        <w:rPr>
          <w:b/>
        </w:rPr>
        <w:t xml:space="preserve">[R043] </w:t>
      </w:r>
      <w:hyperlink r:id="rId323">
        <w:r>
          <w:rPr>
            <w:color w:val="4338CA"/>
          </w:rPr>
          <w:t>Branch Education video directory</w:t>
        </w:r>
      </w:hyperlink>
    </w:p>
    <w:p>
      <w:pPr>
        <w:keepNext/>
      </w:pPr>
      <w:r>
        <w:rPr>
          <w:sz w:val="16"/>
        </w:rPr>
        <w:t>Branch Education | 发布 未确认 | 检索 2026-10-15 | official | search-excerpt</w:t>
      </w:r>
    </w:p>
    <w:p>
      <w:pPr>
        <w:keepNext/>
      </w:pPr>
      <w:r>
        <w:t xml:space="preserve">证据范围 官方视频目录与延伸阅读；不作为视频内容的逐条技术证据</w:t>
      </w:r>
    </w:p>
    <w:p>
      <w:r>
        <w:t>用于 社区异议与深入阅读</w:t>
      </w:r>
    </w:p>
    <w:p>
      <w:pPr>
        <w:keepNext/>
      </w:pPr>
      <w:r>
        <w:rPr>
          <w:b/>
        </w:rPr>
        <w:t xml:space="preserve">[R044] </w:t>
      </w:r>
      <w:hyperlink r:id="rId324">
        <w:r>
          <w:rPr>
            <w:color w:val="4338CA"/>
          </w:rPr>
          <w:t>How does NAND Flash Work Reading from TLC</w:t>
        </w:r>
      </w:hyperlink>
    </w:p>
    <w:p>
      <w:pPr>
        <w:keepNext/>
      </w:pPr>
      <w:r>
        <w:rPr>
          <w:sz w:val="16"/>
        </w:rPr>
        <w:t>Branch Education YouTube | 发布 未确认 | 检索 2026-10-15 | analysis | search-excerpt</w:t>
      </w:r>
    </w:p>
    <w:p>
      <w:pPr>
        <w:keepNext/>
      </w:pPr>
      <w:r>
        <w:t>证据范围 视频标题与描述为NAND系列学习入口，未做完整字幕审计</w:t>
      </w:r>
    </w:p>
    <w:p>
      <w:r>
        <w:t>用于 社区异议与深入阅读</w:t>
      </w:r>
    </w:p>
    <w:p>
      <w:pPr>
        <w:keepNext/>
      </w:pPr>
      <w:r>
        <w:rPr>
          <w:b/>
        </w:rPr>
        <w:t xml:space="preserve">[R045] </w:t>
      </w:r>
      <w:hyperlink r:id="rId325">
        <w:r>
          <w:rPr>
            <w:color w:val="4338CA"/>
          </w:rPr>
          <w:t>Introducing 7th Generation TPUs Ironwood</w:t>
        </w:r>
      </w:hyperlink>
    </w:p>
    <w:p>
      <w:pPr>
        <w:keepNext/>
      </w:pPr>
      <w:r>
        <w:rPr>
          <w:sz w:val="16"/>
        </w:rPr>
        <w:t>Google Cloud YouTube | 发布 2025-04-09 | 检索 2026-10-15 | official | search-excerpt</w:t>
      </w:r>
    </w:p>
    <w:p>
      <w:pPr>
        <w:keepNext/>
      </w:pPr>
      <w:r>
        <w:t>证据范围 官方视频存在与主题；当前规格以R006为准，未完整观看</w:t>
      </w:r>
    </w:p>
    <w:p>
      <w:r>
        <w:t>用于 社区异议与深入阅读</w:t>
      </w:r>
    </w:p>
    <w:p>
      <w:pPr>
        <w:keepNext/>
      </w:pPr>
      <w:r>
        <w:rPr>
          <w:b/>
        </w:rPr>
        <w:t xml:space="preserve">[R046] </w:t>
      </w:r>
      <w:hyperlink r:id="rId143">
        <w:r>
          <w:rPr>
            <w:color w:val="4338CA"/>
          </w:rPr>
          <w:t>YOFC Data Center cabling products</w:t>
        </w:r>
      </w:hyperlink>
    </w:p>
    <w:p>
      <w:pPr>
        <w:keepNext/>
      </w:pPr>
      <w:r>
        <w:rPr>
          <w:sz w:val="16"/>
        </w:rPr>
        <w:t>长飞 YOFC | 发布 未确认 | 检索 2026-10-15 | official | read</w:t>
      </w:r>
    </w:p>
    <w:p>
      <w:pPr>
        <w:keepNext/>
      </w:pPr>
      <w:r>
        <w:t>证据范围 预端接干线光缆、高密度配线架、MTP-LC等布线产品，非光模块份额证明</w:t>
      </w:r>
    </w:p>
    <w:p>
      <w:r>
        <w:t>用于 网络与光互联企业地图、瓶颈与可证伪投资命题</w:t>
      </w:r>
    </w:p>
    <w:p>
      <w:pPr>
        <w:keepNext/>
      </w:pPr>
      <w:r>
        <w:rPr>
          <w:b/>
        </w:rPr>
        <w:t xml:space="preserve">[R047] </w:t>
      </w:r>
      <w:hyperlink r:id="rId144">
        <w:r>
          <w:rPr>
            <w:color w:val="4338CA"/>
          </w:rPr>
          <w:t>YOFC Trunk Cable</w:t>
        </w:r>
      </w:hyperlink>
    </w:p>
    <w:p>
      <w:pPr>
        <w:keepNext/>
      </w:pPr>
      <w:r>
        <w:rPr>
          <w:sz w:val="16"/>
        </w:rPr>
        <w:t>长飞 YOFC | 发布 未确认 | 检索 2026-10-15 | official | read</w:t>
      </w:r>
    </w:p>
    <w:p>
      <w:pPr>
        <w:keepNext/>
      </w:pPr>
      <w:r>
        <w:t>证据范围 预端接干线光缆产品类别；旧速率说明不作为最新市场份额</w:t>
      </w:r>
    </w:p>
    <w:p>
      <w:r>
        <w:t>用于 网络与光互联企业地图、瓶颈与可证伪投资命题</w:t>
      </w:r>
    </w:p>
    <w:p>
      <w:pPr>
        <w:keepNext/>
      </w:pPr>
      <w:r>
        <w:rPr>
          <w:b/>
        </w:rPr>
        <w:t xml:space="preserve">[R048] </w:t>
      </w:r>
      <w:hyperlink r:id="rId145">
        <w:r>
          <w:rPr>
            <w:color w:val="4338CA"/>
          </w:rPr>
          <w:t>亨通产业产品与解决方案</w:t>
        </w:r>
      </w:hyperlink>
    </w:p>
    <w:p>
      <w:pPr>
        <w:keepNext/>
      </w:pPr>
      <w:r>
        <w:rPr>
          <w:sz w:val="16"/>
        </w:rPr>
        <w:t>亨通集团 | 发布 未确认 | 检索 2026-10-15 | official | read</w:t>
      </w:r>
    </w:p>
    <w:p>
      <w:pPr>
        <w:keepNext/>
      </w:pPr>
      <w:r>
        <w:t>证据范围 棒纤缆光网络与数据中心业务位置，不采纳全球排名宣传</w:t>
      </w:r>
    </w:p>
    <w:p>
      <w:r>
        <w:t>用于 网络与光互联企业地图、瓶颈与可证伪投资命题</w:t>
      </w:r>
    </w:p>
    <w:p>
      <w:pPr>
        <w:keepNext/>
      </w:pPr>
      <w:r>
        <w:rPr>
          <w:b/>
        </w:rPr>
        <w:t xml:space="preserve">[R049] </w:t>
      </w:r>
      <w:hyperlink r:id="rId135">
        <w:r>
          <w:rPr>
            <w:color w:val="4338CA"/>
          </w:rPr>
          <w:t>天孚通信产品与服务</w:t>
        </w:r>
      </w:hyperlink>
    </w:p>
    <w:p>
      <w:pPr>
        <w:keepNext/>
      </w:pPr>
      <w:r>
        <w:rPr>
          <w:sz w:val="16"/>
        </w:rPr>
        <w:t>天孚通信 | 发布 未确认 | 检索 2026-10-15 | official | read</w:t>
      </w:r>
    </w:p>
    <w:p>
      <w:pPr>
        <w:keepNext/>
      </w:pPr>
      <w:r>
        <w:t>证据范围 Mux TOSA Demux POSA Lensed FAU AWG等光器件及服务，不证明全部SKU同规模量产</w:t>
      </w:r>
    </w:p>
    <w:p>
      <w:r>
        <w:t>用于 网络与光互联企业地图、瓶颈与可证伪投资命题</w:t>
      </w:r>
    </w:p>
    <w:p>
      <w:pPr>
        <w:keepNext/>
      </w:pPr>
      <w:r>
        <w:rPr>
          <w:b/>
        </w:rPr>
        <w:t xml:space="preserve">[R050] </w:t>
      </w:r>
      <w:hyperlink r:id="rId136">
        <w:r>
          <w:rPr>
            <w:color w:val="4338CA"/>
          </w:rPr>
          <w:t>腾景科技无源器件目录</w:t>
        </w:r>
      </w:hyperlink>
    </w:p>
    <w:p>
      <w:pPr>
        <w:keepNext/>
      </w:pPr>
      <w:r>
        <w:rPr>
          <w:sz w:val="16"/>
        </w:rPr>
        <w:t>腾景科技 Optowide | 发布 未确认 | 检索 2026-10-15 | official | read</w:t>
      </w:r>
    </w:p>
    <w:p>
      <w:pPr>
        <w:keepNext/>
      </w:pPr>
      <w:r>
        <w:t>证据范围 准直器、环形器、VOA、隔离器、WDM等无源器件类别</w:t>
      </w:r>
    </w:p>
    <w:p>
      <w:r>
        <w:t>用于 网络与光互联企业地图、瓶颈与可证伪投资命题</w:t>
      </w:r>
    </w:p>
    <w:p>
      <w:pPr>
        <w:keepNext/>
      </w:pPr>
      <w:r>
        <w:rPr>
          <w:b/>
        </w:rPr>
        <w:t xml:space="preserve">[R051] </w:t>
      </w:r>
      <w:hyperlink r:id="rId134">
        <w:r>
          <w:rPr>
            <w:color w:val="4338CA"/>
          </w:rPr>
          <w:t>源杰科技数据中心光芯片产品</w:t>
        </w:r>
      </w:hyperlink>
    </w:p>
    <w:p>
      <w:pPr>
        <w:keepNext/>
      </w:pPr>
      <w:r>
        <w:rPr>
          <w:sz w:val="16"/>
        </w:rPr>
        <w:t>源杰科技 | 发布 未确认 | 检索 2026-10-15 | official | read</w:t>
      </w:r>
    </w:p>
    <w:p>
      <w:pPr>
        <w:keepNext/>
      </w:pPr>
      <w:r>
        <w:t>证据范围 PAM4 EML与CW DFB光源产品目录，仅支持型号能力不证明全部批量阶段</w:t>
      </w:r>
    </w:p>
    <w:p>
      <w:r>
        <w:t>用于 网络与光互联企业地图、瓶颈与可证伪投资命题</w:t>
      </w:r>
    </w:p>
    <w:p>
      <w:pPr>
        <w:keepNext/>
      </w:pPr>
      <w:r>
        <w:rPr>
          <w:b/>
        </w:rPr>
        <w:t xml:space="preserve">[R052] </w:t>
      </w:r>
      <w:hyperlink r:id="rId137">
        <w:r>
          <w:rPr>
            <w:color w:val="4338CA"/>
          </w:rPr>
          <w:t>CWDM LAN4 AWG Chip Subassemblies</w:t>
        </w:r>
      </w:hyperlink>
    </w:p>
    <w:p>
      <w:pPr>
        <w:keepNext/>
      </w:pPr>
      <w:r>
        <w:rPr>
          <w:sz w:val="16"/>
        </w:rPr>
        <w:t>仕佳光子 | 发布 未确认 | 检索 2026-10-15 | official | read</w:t>
      </w:r>
    </w:p>
    <w:p>
      <w:pPr>
        <w:keepNext/>
      </w:pPr>
      <w:r>
        <w:t>证据范围 AWG波分复用/解复用芯片与子组件产品</w:t>
      </w:r>
    </w:p>
    <w:p>
      <w:r>
        <w:t>用于 网络与光互联企业地图、瓶颈与可证伪投资命题</w:t>
      </w:r>
    </w:p>
    <w:p>
      <w:pPr>
        <w:keepNext/>
      </w:pPr>
      <w:r>
        <w:rPr>
          <w:b/>
        </w:rPr>
        <w:t xml:space="preserve">[R053] </w:t>
      </w:r>
      <w:hyperlink r:id="rId129">
        <w:r>
          <w:rPr>
            <w:color w:val="4338CA"/>
          </w:rPr>
          <w:t>盛科通信2025环境社会与治理报告</w:t>
        </w:r>
      </w:hyperlink>
    </w:p>
    <w:p>
      <w:pPr>
        <w:keepNext/>
      </w:pPr>
      <w:r>
        <w:rPr>
          <w:sz w:val="16"/>
        </w:rPr>
        <w:t>盛科通信 CNINFO | 发布 2026-04-23 | 检索 2026-10-15 | official | read</w:t>
      </w:r>
    </w:p>
    <w:p>
      <w:pPr>
        <w:keepNext/>
      </w:pPr>
      <w:r>
        <w:t>证据范围 p3 12.8T/25.6T和最大800G等交换芯片产品披露，不证明与更高容量平台全面等效</w:t>
      </w:r>
    </w:p>
    <w:p>
      <w:r>
        <w:t>用于 网络与光互联企业地图、瓶颈与可证伪投资命题</w:t>
      </w:r>
    </w:p>
    <w:p>
      <w:pPr>
        <w:keepNext/>
      </w:pPr>
      <w:r>
        <w:rPr>
          <w:b/>
        </w:rPr>
        <w:t xml:space="preserve">[R054] </w:t>
      </w:r>
      <w:hyperlink r:id="rId130">
        <w:r>
          <w:rPr>
            <w:color w:val="4338CA"/>
          </w:rPr>
          <w:t>中科驭数K2 Pro DPU</w:t>
        </w:r>
      </w:hyperlink>
    </w:p>
    <w:p>
      <w:pPr>
        <w:keepNext/>
      </w:pPr>
      <w:r>
        <w:rPr>
          <w:sz w:val="16"/>
        </w:rPr>
        <w:t>中科驭数 | 发布 未确认 | 检索 2026-10-15 | official | read</w:t>
      </w:r>
    </w:p>
    <w:p>
      <w:pPr>
        <w:keepNext/>
      </w:pPr>
      <w:r>
        <w:t>证据范围 KPU架构网络存储安全卸载、2x100GbE PCIe Gen3x16 NVMe-oF产品能力</w:t>
      </w:r>
    </w:p>
    <w:p>
      <w:r>
        <w:t>用于 网络与光互联企业地图、瓶颈与可证伪投资命题</w:t>
      </w:r>
    </w:p>
    <w:p>
      <w:pPr>
        <w:keepNext/>
      </w:pPr>
      <w:r>
        <w:rPr>
          <w:b/>
        </w:rPr>
        <w:t xml:space="preserve">[R055] </w:t>
      </w:r>
      <w:hyperlink r:id="rId131">
        <w:r>
          <w:rPr>
            <w:color w:val="4338CA"/>
          </w:rPr>
          <w:t>云豹云霄DPU产品发布</w:t>
        </w:r>
      </w:hyperlink>
    </w:p>
    <w:p>
      <w:pPr>
        <w:keepNext/>
      </w:pPr>
      <w:r>
        <w:rPr>
          <w:sz w:val="16"/>
        </w:rPr>
        <w:t>云豹智能 | 发布 2021-12-15 | 检索 2026-10-15 | official | read</w:t>
      </w:r>
    </w:p>
    <w:p>
      <w:pPr>
        <w:keepNext/>
      </w:pPr>
      <w:r>
        <w:t>证据范围 历史DPU 2x25G Virtio RoCE NVMeoF等类别；不当最新400/800G产品</w:t>
      </w:r>
    </w:p>
    <w:p>
      <w:r>
        <w:t>用于 网络与光互联企业地图、瓶颈与可证伪投资命题</w:t>
      </w:r>
    </w:p>
    <w:p>
      <w:pPr>
        <w:keepNext/>
      </w:pPr>
      <w:r>
        <w:rPr>
          <w:b/>
        </w:rPr>
        <w:t xml:space="preserve">[R056] </w:t>
      </w:r>
      <w:hyperlink r:id="rId132">
        <w:r>
          <w:rPr>
            <w:color w:val="4338CA"/>
          </w:rPr>
          <w:t>云豹智能官网</w:t>
        </w:r>
      </w:hyperlink>
    </w:p>
    <w:p>
      <w:pPr>
        <w:keepNext/>
      </w:pPr>
      <w:r>
        <w:rPr>
          <w:sz w:val="16"/>
        </w:rPr>
        <w:t>云豹智能 | 发布 未确认 | 检索 2026-10-15 | official | read</w:t>
      </w:r>
    </w:p>
    <w:p>
      <w:pPr>
        <w:keepNext/>
      </w:pPr>
      <w:r>
        <w:t xml:space="preserve">证据范围 仅支持DPU SoC企业定位，不支持400G具体型号的完整规格</w:t>
      </w:r>
    </w:p>
    <w:p>
      <w:r>
        <w:t>用于 网络与光互联企业地图、瓶颈与可证伪投资命题</w:t>
      </w:r>
    </w:p>
    <w:p>
      <w:pPr>
        <w:keepNext/>
      </w:pPr>
      <w:r>
        <w:rPr>
          <w:b/>
        </w:rPr>
        <w:t xml:space="preserve">[R057] </w:t>
      </w:r>
      <w:hyperlink r:id="rId138">
        <w:r>
          <w:rPr>
            <w:color w:val="4338CA"/>
          </w:rPr>
          <w:t>Planar Lightwave Circuit AWG Platform</w:t>
        </w:r>
      </w:hyperlink>
    </w:p>
    <w:p>
      <w:pPr>
        <w:keepNext/>
      </w:pPr>
      <w:r>
        <w:rPr>
          <w:sz w:val="16"/>
        </w:rPr>
        <w:t>仕佳光子 | 发布 未确认 | 检索 2026-10-15 | official | read</w:t>
      </w:r>
    </w:p>
    <w:p>
      <w:pPr>
        <w:keepNext/>
      </w:pPr>
      <w:r>
        <w:t>证据范围 PLC/AWG平台定位，与光模块及激光器分层</w:t>
      </w:r>
    </w:p>
    <w:p>
      <w:r>
        <w:t>用于 网络与光互联企业地图、瓶颈与可证伪投资命题</w:t>
      </w:r>
    </w:p>
    <w:p>
      <w:pPr>
        <w:keepNext/>
      </w:pPr>
      <w:r>
        <w:rPr>
          <w:b/>
        </w:rPr>
        <w:t xml:space="preserve">[R058] </w:t>
      </w:r>
      <w:hyperlink r:id="rId302">
        <w:r>
          <w:rPr>
            <w:color w:val="4338CA"/>
          </w:rPr>
          <w:t>海光CPU产品</w:t>
        </w:r>
      </w:hyperlink>
    </w:p>
    <w:p>
      <w:pPr>
        <w:keepNext/>
      </w:pPr>
      <w:r>
        <w:rPr>
          <w:sz w:val="16"/>
        </w:rPr>
        <w:t>海光信息 | 发布 未确认 | 检索 2026-10-15 | official | search-excerpt</w:t>
      </w:r>
    </w:p>
    <w:p>
      <w:pPr>
        <w:keepNext/>
      </w:pPr>
      <w:r>
        <w:t xml:space="preserve">证据范围 数据中心CPU类别；历史核心数不代表当前全部型号上限，证据限于摘要</w:t>
      </w:r>
    </w:p>
    <w:p>
      <w:r>
        <w:t>用于 计算与设计公司地图</w:t>
      </w:r>
    </w:p>
    <w:p>
      <w:pPr>
        <w:keepNext/>
      </w:pPr>
      <w:r>
        <w:rPr>
          <w:b/>
        </w:rPr>
        <w:t xml:space="preserve">[R059] </w:t>
      </w:r>
      <w:hyperlink r:id="rId303">
        <w:r>
          <w:rPr>
            <w:color w:val="4338CA"/>
          </w:rPr>
          <w:t>华为鲲鹏920</w:t>
        </w:r>
      </w:hyperlink>
    </w:p>
    <w:p>
      <w:pPr>
        <w:keepNext/>
      </w:pPr>
      <w:r>
        <w:rPr>
          <w:sz w:val="16"/>
        </w:rPr>
        <w:t>海思 | 发布 未确认 | 检索 2026-10-15 | official | read</w:t>
      </w:r>
    </w:p>
    <w:p>
      <w:pPr>
        <w:keepNext/>
      </w:pPr>
      <w:r>
        <w:t>证据范围 Arm通用CPU与DDR4 PCIe4多路互连的该型号资料，不代表所有最新鲲鹏型号</w:t>
      </w:r>
    </w:p>
    <w:p>
      <w:r>
        <w:t>用于 计算与设计公司地图</w:t>
      </w:r>
    </w:p>
    <w:p>
      <w:pPr>
        <w:keepNext/>
      </w:pPr>
      <w:r>
        <w:rPr>
          <w:b/>
        </w:rPr>
        <w:t xml:space="preserve">[R060] </w:t>
      </w:r>
      <w:hyperlink r:id="rId186">
        <w:r>
          <w:rPr>
            <w:color w:val="4338CA"/>
          </w:rPr>
          <w:t>MAP1602 C SSD controller</w:t>
        </w:r>
      </w:hyperlink>
    </w:p>
    <w:p>
      <w:pPr>
        <w:keepNext/>
      </w:pPr>
      <w:r>
        <w:rPr>
          <w:sz w:val="16"/>
        </w:rPr>
        <w:t>联芸科技 MAXIO | 发布 未确认 | 检索 2026-10-15 | official | read</w:t>
      </w:r>
    </w:p>
    <w:p>
      <w:pPr>
        <w:keepNext/>
      </w:pPr>
      <w:r>
        <w:t>证据范围 客户端DRAM-less PCIe4x4 NVMe2.0主控及ECC/NAND接口，不据此称企业级盘认证</w:t>
      </w:r>
    </w:p>
    <w:p>
      <w:r>
        <w:t>用于 存储公司版图与可验证的投资问题</w:t>
      </w:r>
    </w:p>
    <w:p>
      <w:pPr>
        <w:keepNext/>
      </w:pPr>
      <w:r>
        <w:rPr>
          <w:b/>
        </w:rPr>
        <w:t xml:space="preserve">[R061] </w:t>
      </w:r>
      <w:hyperlink r:id="rId310">
        <w:r>
          <w:rPr>
            <w:color w:val="4338CA"/>
          </w:rPr>
          <w:t>Empyrean ALPS SPICE simulator</w:t>
        </w:r>
      </w:hyperlink>
    </w:p>
    <w:p>
      <w:pPr>
        <w:keepNext/>
      </w:pPr>
      <w:r>
        <w:rPr>
          <w:sz w:val="16"/>
        </w:rPr>
        <w:t>华大九天 | 发布 未确认 | 检索 2026-10-15 | official | read</w:t>
      </w:r>
    </w:p>
    <w:p>
      <w:pPr>
        <w:keepNext/>
      </w:pPr>
      <w:r>
        <w:t>证据范围 模拟混合信号及存储电路并行SPICE仿真工具，性能倍数不当独立实测</w:t>
      </w:r>
    </w:p>
    <w:p>
      <w:r>
        <w:t>用于 计算与设计公司地图</w:t>
      </w:r>
    </w:p>
    <w:p>
      <w:pPr>
        <w:keepNext/>
      </w:pPr>
      <w:r>
        <w:rPr>
          <w:b/>
        </w:rPr>
        <w:t xml:space="preserve">[R062] </w:t>
      </w:r>
      <w:hyperlink r:id="rId311">
        <w:r>
          <w:rPr>
            <w:color w:val="4338CA"/>
          </w:rPr>
          <w:t>NanoSpice Pro FastSPICE product brief</w:t>
        </w:r>
      </w:hyperlink>
    </w:p>
    <w:p>
      <w:pPr>
        <w:keepNext/>
      </w:pPr>
      <w:r>
        <w:rPr>
          <w:sz w:val="16"/>
        </w:rPr>
        <w:t>概伦电子 | 发布 2024-06 | 检索 2026-10-15 | official | read</w:t>
      </w:r>
    </w:p>
    <w:p>
      <w:pPr>
        <w:keepNext/>
      </w:pPr>
      <w:r>
        <w:t>证据范围 FastSPICE及DRAM SRAM Flash MRAM等存储电路验证定位</w:t>
      </w:r>
    </w:p>
    <w:p>
      <w:r>
        <w:t>用于 计算与设计公司地图</w:t>
      </w:r>
    </w:p>
    <w:p>
      <w:pPr>
        <w:keepNext/>
      </w:pPr>
      <w:r>
        <w:rPr>
          <w:b/>
        </w:rPr>
        <w:t xml:space="preserve">[R063] </w:t>
      </w:r>
      <w:hyperlink r:id="rId312">
        <w:r>
          <w:rPr>
            <w:color w:val="4338CA"/>
          </w:rPr>
          <w:t>SmtCell parameterized layout tool</w:t>
        </w:r>
      </w:hyperlink>
    </w:p>
    <w:p>
      <w:pPr>
        <w:keepNext/>
      </w:pPr>
      <w:r>
        <w:rPr>
          <w:sz w:val="16"/>
        </w:rPr>
        <w:t>广立微 | 发布 未确认 | 检索 2026-10-15 | official | search-excerpt</w:t>
      </w:r>
    </w:p>
    <w:p>
      <w:pPr>
        <w:keepNext/>
      </w:pPr>
      <w:r>
        <w:t xml:space="preserve">证据范围 参数化测试结构版图工具，不代表完整芯片布局布线流程；证据限于摘要</w:t>
      </w:r>
    </w:p>
    <w:p>
      <w:r>
        <w:t>用于 计算与设计公司地图</w:t>
      </w:r>
    </w:p>
    <w:p>
      <w:pPr>
        <w:keepNext/>
      </w:pPr>
      <w:r>
        <w:rPr>
          <w:b/>
        </w:rPr>
        <w:t xml:space="preserve">[R064] </w:t>
      </w:r>
      <w:hyperlink r:id="rId148">
        <w:r>
          <w:rPr>
            <w:color w:val="4338CA"/>
          </w:rPr>
          <w:t>源杰科技2026年半年度报告</w:t>
        </w:r>
      </w:hyperlink>
    </w:p>
    <w:p>
      <w:pPr>
        <w:keepNext/>
      </w:pPr>
      <w:r>
        <w:rPr>
          <w:sz w:val="16"/>
        </w:rPr>
        <w:t>源杰科技 CNINFO | 发布 2026-08-29 | 检索 2026-10-15 | official | read</w:t>
      </w:r>
    </w:p>
    <w:p>
      <w:pPr>
        <w:keepNext/>
      </w:pPr>
      <w:r>
        <w:t>证据范围 p14 CW70/100mW和100G EML批量、200G EML客户验证；p17-18异质外延对接量子阱寄生电容钝化等公司陈述</w:t>
      </w:r>
    </w:p>
    <w:p>
      <w:r>
        <w:t>用于 网络与光互联企业地图、瓶颈与可证伪投资命题</w:t>
      </w:r>
    </w:p>
    <w:p>
      <w:pPr>
        <w:keepNext/>
      </w:pPr>
      <w:r>
        <w:rPr>
          <w:b/>
        </w:rPr>
        <w:t xml:space="preserve">[R065] </w:t>
      </w:r>
      <w:hyperlink r:id="rId149">
        <w:r>
          <w:rPr>
            <w:color w:val="4338CA"/>
          </w:rPr>
          <w:t>天孚通信2026年半年度报告</w:t>
        </w:r>
      </w:hyperlink>
    </w:p>
    <w:p>
      <w:pPr>
        <w:keepNext/>
      </w:pPr>
      <w:r>
        <w:rPr>
          <w:sz w:val="16"/>
        </w:rPr>
        <w:t>天孚通信 深交所 | 发布 2026-08-19 | 检索 2026-10-15 | official | read</w:t>
      </w:r>
    </w:p>
    <w:p>
      <w:pPr>
        <w:keepNext/>
      </w:pPr>
      <w:r>
        <w:t>证据范围 p12-13无源有源光模块代工与FAU光引擎封装高密度互连ELS方案类别</w:t>
      </w:r>
    </w:p>
    <w:p>
      <w:r>
        <w:t>用于 网络与光互联企业地图、瓶颈与可证伪投资命题</w:t>
      </w:r>
    </w:p>
    <w:p>
      <w:pPr>
        <w:keepNext/>
      </w:pPr>
      <w:r>
        <w:rPr>
          <w:b/>
        </w:rPr>
        <w:t xml:space="preserve">[S001] </w:t>
      </w:r>
      <w:hyperlink r:id="rId16">
        <w:r>
          <w:rPr>
            <w:color w:val="4338CA"/>
          </w:rPr>
          <w:t>ECC and Spare Blocks help to keep Kingston SSD data protected from errors</w:t>
        </w:r>
      </w:hyperlink>
    </w:p>
    <w:p>
      <w:pPr>
        <w:keepNext/>
      </w:pPr>
      <w:r>
        <w:rPr>
          <w:sz w:val="16"/>
        </w:rPr>
        <w:t>Kingston | 发布 未确认 | 检索 2026-10-15 | official | read</w:t>
      </w:r>
    </w:p>
    <w:p>
      <w:pPr>
        <w:keepNext/>
      </w:pPr>
      <w:r>
        <w:t>证据范围 SSD controller, SRAM/DRAM mapping tables, data-path protection and spare blocks</w:t>
      </w:r>
    </w:p>
    <w:p>
      <w:r>
        <w:t>用于 从一块企业级 SSD 看懂整条产业链；SSD、网络存储、HDD 与磁带怎样服务 AI；存储公司版图与可验证的投资问题</w:t>
      </w:r>
    </w:p>
    <w:p>
      <w:pPr>
        <w:keepNext/>
      </w:pPr>
      <w:r>
        <w:rPr>
          <w:b/>
        </w:rPr>
        <w:t xml:space="preserve">[S002] </w:t>
      </w:r>
      <w:hyperlink r:id="rId27">
        <w:r>
          <w:rPr>
            <w:color w:val="4338CA"/>
          </w:rPr>
          <w:t>3D NAND Anatomy and Scaling</w:t>
        </w:r>
      </w:hyperlink>
    </w:p>
    <w:p>
      <w:pPr>
        <w:keepNext/>
      </w:pPr>
      <w:r>
        <w:rPr>
          <w:sz w:val="16"/>
        </w:rPr>
        <w:t>Applied Materials | 发布 未确认 | 检索 2026-10-15 | official | read</w:t>
      </w:r>
    </w:p>
    <w:p>
      <w:pPr>
        <w:keepNext/>
      </w:pPr>
      <w:r>
        <w:t>证据范围 Charge-trap cell materials, staircase, channel and metal fill; source contains silicon nitrate typo interpreted using SiN context</w:t>
      </w:r>
    </w:p>
    <w:p>
      <w:r>
        <w:t>用于 从一块企业级 SSD 看懂整条产业链；NAND 的工艺、材料和设备怎样衔接</w:t>
      </w:r>
    </w:p>
    <w:p>
      <w:pPr>
        <w:keepNext/>
      </w:pPr>
      <w:r>
        <w:rPr>
          <w:b/>
        </w:rPr>
        <w:t xml:space="preserve">[S003] </w:t>
      </w:r>
      <w:hyperlink r:id="rId25">
        <w:r>
          <w:rPr>
            <w:color w:val="4338CA"/>
          </w:rPr>
          <w:t>High-density 3D flash memory using high-precision wafer bonding brings new value to storage</w:t>
        </w:r>
      </w:hyperlink>
    </w:p>
    <w:p>
      <w:pPr>
        <w:keepNext/>
      </w:pPr>
      <w:r>
        <w:rPr>
          <w:sz w:val="16"/>
        </w:rPr>
        <w:t>Kioxia / licensed EE Times interview | 发布 2024-07-30 | 检索 2026-10-15 | official | read</w:t>
      </w:r>
    </w:p>
    <w:p>
      <w:pPr>
        <w:keepNext/>
      </w:pPr>
      <w:r>
        <w:t>证据范围 CBA separately processes CMOS and array; thermal budget, alignment, flatness and bit-density considerations</w:t>
      </w:r>
    </w:p>
    <w:p>
      <w:r>
        <w:t>用于 从一块企业级 SSD 看懂整条产业链；NAND 的工艺、材料和设备怎样衔接；存储公司版图与可验证的投资问题</w:t>
      </w:r>
    </w:p>
    <w:p>
      <w:pPr>
        <w:keepNext/>
      </w:pPr>
      <w:r>
        <w:rPr>
          <w:b/>
        </w:rPr>
        <w:t xml:space="preserve">[S004] </w:t>
      </w:r>
      <w:hyperlink r:id="rId33">
        <w:r>
          <w:rPr>
            <w:color w:val="4338CA"/>
          </w:rPr>
          <w:t>Memory Channel Hole Etch Technology for 3D NAND over 400 Layers</w:t>
        </w:r>
      </w:hyperlink>
    </w:p>
    <w:p>
      <w:pPr>
        <w:keepNext/>
      </w:pPr>
      <w:r>
        <w:rPr>
          <w:sz w:val="16"/>
        </w:rPr>
        <w:t>Tokyo Electron | 发布 2023-06-09 | 检索 2026-10-15 | official | read</w:t>
      </w:r>
    </w:p>
    <w:p>
      <w:pPr>
        <w:keepNext/>
      </w:pPr>
      <w:r>
        <w:t>证据范围 Technology demonstration of 10 micrometer deep channel etch in 33 minutes; not full-fab throughput</w:t>
      </w:r>
    </w:p>
    <w:p>
      <w:r>
        <w:t>用于 从一块企业级 SSD 看懂整条产业链；NAND 的工艺、材料和设备怎样衔接；存储公司版图与可验证的投资问题</w:t>
      </w:r>
    </w:p>
    <w:p>
      <w:pPr>
        <w:keepNext/>
      </w:pPr>
      <w:r>
        <w:rPr>
          <w:b/>
        </w:rPr>
        <w:t xml:space="preserve">[S005] </w:t>
      </w:r>
      <w:hyperlink r:id="rId50">
        <w:r>
          <w:rPr>
            <w:color w:val="4338CA"/>
          </w:rPr>
          <w:t>Cryogenic Etching</w:t>
        </w:r>
      </w:hyperlink>
    </w:p>
    <w:p>
      <w:pPr>
        <w:keepNext/>
      </w:pPr>
      <w:r>
        <w:rPr>
          <w:sz w:val="16"/>
        </w:rPr>
        <w:t>Lam Research | 发布 未确认 | 检索 2026-10-15 | official | read</w:t>
      </w:r>
    </w:p>
    <w:p>
      <w:pPr>
        <w:keepNext/>
      </w:pPr>
      <w:r>
        <w:t>证据范围 Cryogenic channel etch, oxide/nitride deposition, W/Mo metal integration and wafer stress management</w:t>
      </w:r>
    </w:p>
    <w:p>
      <w:r>
        <w:t>用于 NAND 的工艺、材料和设备怎样衔接；存储公司版图与可验证的投资问题</w:t>
      </w:r>
    </w:p>
    <w:p>
      <w:pPr>
        <w:keepNext/>
      </w:pPr>
      <w:r>
        <w:rPr>
          <w:b/>
        </w:rPr>
        <w:t xml:space="preserve">[S006] </w:t>
      </w:r>
      <w:hyperlink r:id="rId34">
        <w:r>
          <w:rPr>
            <w:color w:val="4338CA"/>
          </w:rPr>
          <w:t>Applied Materials Unveils Deposition and Selective Etch Systems to Advance 3D Chip Scaling</w:t>
        </w:r>
      </w:hyperlink>
    </w:p>
    <w:p>
      <w:pPr>
        <w:keepNext/>
      </w:pPr>
      <w:r>
        <w:rPr>
          <w:sz w:val="16"/>
        </w:rPr>
        <w:t>Applied Materials | 发布 2026-06-15 | 检索 2026-10-15 | official | read</w:t>
      </w:r>
    </w:p>
    <w:p>
      <w:pPr>
        <w:keepNext/>
      </w:pPr>
      <w:r>
        <w:t>证据范围 SiN ALD and selective Mo etch; adopted wordline metallization and isolation applications</w:t>
      </w:r>
    </w:p>
    <w:p>
      <w:r>
        <w:t>用于 从一块企业级 SSD 看懂整条产业链；NAND 的工艺、材料和设备怎样衔接；存储公司版图与可验证的投资问题</w:t>
      </w:r>
    </w:p>
    <w:p>
      <w:pPr>
        <w:keepNext/>
      </w:pPr>
      <w:r>
        <w:rPr>
          <w:b/>
        </w:rPr>
        <w:t xml:space="preserve">[S007] </w:t>
      </w:r>
      <w:hyperlink r:id="rId26">
        <w:r>
          <w:rPr>
            <w:color w:val="4338CA"/>
          </w:rPr>
          <w:t>About Xtacking</w:t>
        </w:r>
      </w:hyperlink>
    </w:p>
    <w:p>
      <w:pPr>
        <w:keepNext/>
      </w:pPr>
      <w:r>
        <w:rPr>
          <w:sz w:val="16"/>
        </w:rPr>
        <w:t>YMTC | 发布 未确认 | 检索 2026-10-15 | official | read</w:t>
      </w:r>
    </w:p>
    <w:p>
      <w:pPr>
        <w:keepNext/>
      </w:pPr>
      <w:r>
        <w:t>证据范围 Separate array and peripheral wafers, vertical metal connections, Xtacking 4.0 product family</w:t>
      </w:r>
    </w:p>
    <w:p>
      <w:r>
        <w:t>用于 从一块企业级 SSD 看懂整条产业链；NAND 的工艺、材料和设备怎样衔接；存储公司版图与可验证的投资问题</w:t>
      </w:r>
    </w:p>
    <w:p>
      <w:pPr>
        <w:keepNext/>
      </w:pPr>
      <w:r>
        <w:rPr>
          <w:b/>
        </w:rPr>
        <w:t xml:space="preserve">[S008] </w:t>
      </w:r>
      <w:hyperlink r:id="rId28">
        <w:r>
          <w:rPr>
            <w:color w:val="4338CA"/>
          </w:rPr>
          <w:t>96 Layers and Beyond: 3D NAND Material and Integration Challenges</w:t>
        </w:r>
      </w:hyperlink>
    </w:p>
    <w:p>
      <w:pPr>
        <w:keepNext/>
      </w:pPr>
      <w:r>
        <w:rPr>
          <w:sz w:val="16"/>
        </w:rPr>
        <w:t>Entegris | 发布 未确认 | 检索 2026-10-15 | official | read</w:t>
      </w:r>
    </w:p>
    <w:p>
      <w:pPr>
        <w:keepNext/>
      </w:pPr>
      <w:r>
        <w:t>证据范围 HAR film uniformity, nitride removal, contamination and process integration constraints</w:t>
      </w:r>
    </w:p>
    <w:p>
      <w:r>
        <w:t>用于 从一块企业级 SSD 看懂整条产业链；NAND 的工艺、材料和设备怎样衔接；存储公司版图与可验证的投资问题</w:t>
      </w:r>
    </w:p>
    <w:p>
      <w:pPr>
        <w:keepNext/>
      </w:pPr>
      <w:r>
        <w:rPr>
          <w:b/>
        </w:rPr>
        <w:t xml:space="preserve">[S009] </w:t>
      </w:r>
      <w:hyperlink r:id="rId35">
        <w:r>
          <w:rPr>
            <w:color w:val="4338CA"/>
          </w:rPr>
          <w:t>2022 Scientific Report: Applications of Molecular Dynamics on Formulation Design for Complex HAR 3D Nanostructures</w:t>
        </w:r>
      </w:hyperlink>
    </w:p>
    <w:p>
      <w:pPr>
        <w:keepNext/>
      </w:pPr>
      <w:r>
        <w:rPr>
          <w:sz w:val="16"/>
        </w:rPr>
        <w:t>Entegris | 发布 未确认 | 检索 2026-10-15 | official | read</w:t>
      </w:r>
    </w:p>
    <w:p>
      <w:pPr>
        <w:keepNext/>
      </w:pPr>
      <w:r>
        <w:t>证据范围 PDF pp.17-19: hot phosphoric sacrificial SiN removal, SiO2 redeposition, bath-life/defect tradeoffs</w:t>
      </w:r>
    </w:p>
    <w:p>
      <w:r>
        <w:t>用于 从一块企业级 SSD 看懂整条产业链；NAND 的工艺、材料和设备怎样衔接；存储公司版图与可验证的投资问题</w:t>
      </w:r>
    </w:p>
    <w:p>
      <w:pPr>
        <w:keepNext/>
      </w:pPr>
      <w:r>
        <w:rPr>
          <w:b/>
        </w:rPr>
        <w:t xml:space="preserve">[S010] </w:t>
      </w:r>
      <w:hyperlink r:id="rId52">
        <w:r>
          <w:rPr>
            <w:color w:val="4338CA"/>
          </w:rPr>
          <w:t>Advancing Semiconductors: Thin Film Solutions Offering</w:t>
        </w:r>
      </w:hyperlink>
    </w:p>
    <w:p>
      <w:pPr>
        <w:keepNext/>
      </w:pPr>
      <w:r>
        <w:rPr>
          <w:sz w:val="16"/>
        </w:rPr>
        <w:t>Merck | 发布 未确认 | 检索 2026-10-15 | official | read</w:t>
      </w:r>
    </w:p>
    <w:p>
      <w:pPr>
        <w:keepNext/>
      </w:pPr>
      <w:r>
        <w:t>证据范围 Organosilane, organometallic, dielectric and precursor delivery/application development portfolio; not customer BOM</w:t>
      </w:r>
    </w:p>
    <w:p>
      <w:r>
        <w:t>用于 NAND 的工艺、材料和设备怎样衔接；存储公司版图与可验证的投资问题</w:t>
      </w:r>
    </w:p>
    <w:p>
      <w:pPr>
        <w:keepNext/>
      </w:pPr>
      <w:r>
        <w:rPr>
          <w:b/>
        </w:rPr>
        <w:t xml:space="preserve">[S011] </w:t>
      </w:r>
      <w:hyperlink r:id="rId47">
        <w:r>
          <w:rPr>
            <w:color w:val="4338CA"/>
          </w:rPr>
          <w:t>Recent Progress on 3D NAND Flash Technologies</w:t>
        </w:r>
      </w:hyperlink>
    </w:p>
    <w:p>
      <w:pPr>
        <w:keepNext/>
      </w:pPr>
      <w:r>
        <w:rPr>
          <w:sz w:val="16"/>
        </w:rPr>
        <w:t>Electronics / MDPI | 发布 未确认 | 检索 2026-10-15 | paper | search-excerpt</w:t>
      </w:r>
    </w:p>
    <w:p>
      <w:pPr>
        <w:keepNext/>
      </w:pPr>
      <w:r>
        <w:t xml:space="preserve">证据范围 Replacement gate charge-trap NAND and SiN storage layer; evidence limited to the published abstract</w:t>
      </w:r>
    </w:p>
    <w:p>
      <w:r>
        <w:t>用于 NAND 的工艺、材料和设备怎样衔接</w:t>
      </w:r>
    </w:p>
    <w:p>
      <w:pPr>
        <w:keepNext/>
      </w:pPr>
      <w:r>
        <w:rPr>
          <w:b/>
        </w:rPr>
        <w:t xml:space="preserve">[S012] </w:t>
      </w:r>
      <w:hyperlink r:id="rId48">
        <w:r>
          <w:rPr>
            <w:color w:val="4338CA"/>
          </w:rPr>
          <w:t>Material engineering to enhance reliability in 3D NAND flash memory</w:t>
        </w:r>
      </w:hyperlink>
    </w:p>
    <w:p>
      <w:pPr>
        <w:keepNext/>
      </w:pPr>
      <w:r>
        <w:rPr>
          <w:sz w:val="16"/>
        </w:rPr>
        <w:t>Device / Elsevier | 发布 未确认 | 检索 2026-10-15 | paper | search-excerpt</w:t>
      </w:r>
    </w:p>
    <w:p>
      <w:pPr>
        <w:keepNext/>
      </w:pPr>
      <w:r>
        <w:t xml:space="preserve">证据范围 综述摘要区分隧穿层、电荷俘获层、阻挡层、沟道材料及可靠性；证据限于论文摘要</w:t>
      </w:r>
    </w:p>
    <w:p>
      <w:r>
        <w:t>用于 NAND 的工艺、材料和设备怎样衔接</w:t>
      </w:r>
    </w:p>
    <w:p>
      <w:pPr>
        <w:keepNext/>
      </w:pPr>
      <w:r>
        <w:rPr>
          <w:b/>
        </w:rPr>
        <w:t xml:space="preserve">[S013] </w:t>
      </w:r>
      <w:hyperlink r:id="rId18">
        <w:r>
          <w:rPr>
            <w:color w:val="4338CA"/>
          </w:rPr>
          <w:t>Kioxia Commences Sample Shipments of 10th-Generation BiCS FLASH Devices</w:t>
        </w:r>
      </w:hyperlink>
    </w:p>
    <w:p>
      <w:pPr>
        <w:keepNext/>
      </w:pPr>
      <w:r>
        <w:rPr>
          <w:sz w:val="16"/>
        </w:rPr>
        <w:t>Kioxia | 发布 2026-07-03 | 检索 2026-10-15 | official | read</w:t>
      </w:r>
    </w:p>
    <w:p>
      <w:pPr>
        <w:keepNext/>
      </w:pPr>
      <w:r>
        <w:t>证据范围 BiCS10 1Tb TLC sample shipments, CBA and advanced stacking; not mass-production evidence</w:t>
      </w:r>
    </w:p>
    <w:p>
      <w:r>
        <w:t>用于 从一块企业级 SSD 看懂整条产业链；存储公司版图与可验证的投资问题</w:t>
      </w:r>
    </w:p>
    <w:p>
      <w:pPr>
        <w:keepNext/>
      </w:pPr>
      <w:r>
        <w:rPr>
          <w:b/>
        </w:rPr>
        <w:t xml:space="preserve">[S014] </w:t>
      </w:r>
      <w:hyperlink r:id="rId184">
        <w:r>
          <w:rPr>
            <w:color w:val="4338CA"/>
          </w:rPr>
          <w:t>Development of a 10th Generation 2Tb 4b/cell BiCS FLASH product</w:t>
        </w:r>
      </w:hyperlink>
    </w:p>
    <w:p>
      <w:pPr>
        <w:keepNext/>
      </w:pPr>
      <w:r>
        <w:rPr>
          <w:sz w:val="16"/>
        </w:rPr>
        <w:t>Kioxia | 发布 2026-07-15 | 检索 2026-10-15 | official | read</w:t>
      </w:r>
    </w:p>
    <w:p>
      <w:pPr>
        <w:keepNext/>
      </w:pPr>
      <w:r>
        <w:t>证据范围 Kioxia/Sandisk ISSCC 2026 2Tb QLC development and 332 stacked word-line features</w:t>
      </w:r>
    </w:p>
    <w:p>
      <w:r>
        <w:t>用于 存储公司版图与可验证的投资问题</w:t>
      </w:r>
    </w:p>
    <w:p>
      <w:pPr>
        <w:keepNext/>
      </w:pPr>
      <w:r>
        <w:rPr>
          <w:b/>
        </w:rPr>
        <w:t xml:space="preserve">[S015] </w:t>
      </w:r>
      <w:hyperlink r:id="rId183">
        <w:r>
          <w:rPr>
            <w:color w:val="4338CA"/>
          </w:rPr>
          <w:t>G9 NAND</w:t>
        </w:r>
      </w:hyperlink>
    </w:p>
    <w:p>
      <w:pPr>
        <w:keepNext/>
      </w:pPr>
      <w:r>
        <w:rPr>
          <w:sz w:val="16"/>
        </w:rPr>
        <w:t>Micron | 发布 未确认 | 检索 2026-10-15 | official | read</w:t>
      </w:r>
    </w:p>
    <w:p>
      <w:pPr>
        <w:keepNext/>
      </w:pPr>
      <w:r>
        <w:t>证据范围 Micron has G9 3D TLC NAND and SSD products; interface-unit ambiguities not used quantitatively</w:t>
      </w:r>
    </w:p>
    <w:p>
      <w:r>
        <w:t>用于 存储公司版图与可验证的投资问题</w:t>
      </w:r>
    </w:p>
    <w:p>
      <w:pPr>
        <w:keepNext/>
      </w:pPr>
      <w:r>
        <w:rPr>
          <w:b/>
        </w:rPr>
        <w:t xml:space="preserve">[S016] </w:t>
      </w:r>
      <w:hyperlink r:id="rId22">
        <w:r>
          <w:rPr>
            <w:color w:val="4338CA"/>
          </w:rPr>
          <w:t>SSD Power Loss Protection: How Hardware and Firmware PLP Prevent Data Loss</w:t>
        </w:r>
      </w:hyperlink>
    </w:p>
    <w:p>
      <w:pPr>
        <w:keepNext/>
      </w:pPr>
      <w:r>
        <w:rPr>
          <w:sz w:val="16"/>
        </w:rPr>
        <w:t>Kingston | 发布 未确认 | 检索 2026-10-15 | official | read</w:t>
      </w:r>
    </w:p>
    <w:p>
      <w:pPr>
        <w:keepNext/>
      </w:pPr>
      <w:r>
        <w:t>证据范围 Hold-up capacitors, voltage detection, volatile data/FTL preservation and firmware recovery; page labeled Apr 2026</w:t>
      </w:r>
    </w:p>
    <w:p>
      <w:r>
        <w:t>用于 从一块企业级 SSD 看懂整条产业链；SSD、网络存储、HDD 与磁带怎样服务 AI</w:t>
      </w:r>
    </w:p>
    <w:p>
      <w:pPr>
        <w:keepNext/>
      </w:pPr>
      <w:r>
        <w:rPr>
          <w:b/>
        </w:rPr>
        <w:t xml:space="preserve">[S017] </w:t>
      </w:r>
      <w:hyperlink r:id="rId17">
        <w:r>
          <w:rPr>
            <w:color w:val="4338CA"/>
          </w:rPr>
          <w:t>Edge SSD Controllers: SM2504XT and SM2508</w:t>
        </w:r>
      </w:hyperlink>
    </w:p>
    <w:p>
      <w:pPr>
        <w:keepNext/>
      </w:pPr>
      <w:r>
        <w:rPr>
          <w:sz w:val="16"/>
        </w:rPr>
        <w:t>Silicon Motion | 发布 未确认 | 检索 2026-10-15 | official | read</w:t>
      </w:r>
    </w:p>
    <w:p>
      <w:pPr>
        <w:keepNext/>
      </w:pPr>
      <w:r>
        <w:t>证据范围 SM2508 TSMC 6nm, controller NAND channels, ECC/LDPC, DRAM-less HMB product distinction and validation</w:t>
      </w:r>
    </w:p>
    <w:p>
      <w:r>
        <w:t>用于 从一块企业级 SSD 看懂整条产业链；NAND 的工艺、材料和设备怎样衔接；SSD、网络存储、HDD 与磁带怎样服务 AI；存储公司版图与可验证的投资问题</w:t>
      </w:r>
    </w:p>
    <w:p>
      <w:pPr>
        <w:keepNext/>
      </w:pPr>
      <w:r>
        <w:rPr>
          <w:b/>
        </w:rPr>
        <w:t xml:space="preserve">[S018] </w:t>
      </w:r>
      <w:hyperlink r:id="rId21">
        <w:r>
          <w:rPr>
            <w:color w:val="4338CA"/>
          </w:rPr>
          <w:t>QLC NAND Technology Is Ready for Mainstream Use in the Data Center</w:t>
        </w:r>
      </w:hyperlink>
    </w:p>
    <w:p>
      <w:pPr>
        <w:keepNext/>
      </w:pPr>
      <w:r>
        <w:rPr>
          <w:sz w:val="16"/>
        </w:rPr>
        <w:t>Solidigm | 发布 未确认 | 检索 2026-10-15 | official | read</w:t>
      </w:r>
    </w:p>
    <w:p>
      <w:pPr>
        <w:keepNext/>
      </w:pPr>
      <w:r>
        <w:t>证据范围 Page-write/block-erase, write amplification and workload-dependent QLC endurance</w:t>
      </w:r>
    </w:p>
    <w:p>
      <w:r>
        <w:t>用于 从一块企业级 SSD 看懂整条产业链；SSD、网络存储、HDD 与磁带怎样服务 AI；存储公司版图与可验证的投资问题</w:t>
      </w:r>
    </w:p>
    <w:p>
      <w:pPr>
        <w:keepNext/>
      </w:pPr>
      <w:r>
        <w:rPr>
          <w:b/>
        </w:rPr>
        <w:t xml:space="preserve">[S019] </w:t>
      </w:r>
      <w:hyperlink r:id="rId23">
        <w:r>
          <w:rPr>
            <w:color w:val="4338CA"/>
          </w:rPr>
          <w:t>Understanding SSD Performance Project</w:t>
        </w:r>
      </w:hyperlink>
    </w:p>
    <w:p>
      <w:pPr>
        <w:keepNext/>
      </w:pPr>
      <w:r>
        <w:rPr>
          <w:sz w:val="16"/>
        </w:rPr>
        <w:t>SNIA | 发布 未确认 | 检索 2026-10-15 | standard | read</w:t>
      </w:r>
    </w:p>
    <w:p>
      <w:pPr>
        <w:keepNext/>
      </w:pPr>
      <w:r>
        <w:t>证据范围 Comparable device SSD measurements require specified platform/methodology; PTS and preconditioning context</w:t>
      </w:r>
    </w:p>
    <w:p>
      <w:r>
        <w:t>用于 从一块企业级 SSD 看懂整条产业链；NAND 的工艺、材料和设备怎样衔接；从 SRAM 到磁带：AI 的内存与存储全景；SSD、网络存储、HDD 与磁带怎样服务 AI；存储公司版图与可验证的投资问题</w:t>
      </w:r>
    </w:p>
    <w:p>
      <w:pPr>
        <w:keepNext/>
      </w:pPr>
      <w:r>
        <w:rPr>
          <w:b/>
        </w:rPr>
        <w:t xml:space="preserve">[S020] </w:t>
      </w:r>
      <w:hyperlink r:id="rId19">
        <w:r>
          <w:rPr>
            <w:color w:val="4338CA"/>
          </w:rPr>
          <w:t>NVMe over TCP Transport Specification</w:t>
        </w:r>
      </w:hyperlink>
    </w:p>
    <w:p>
      <w:pPr>
        <w:keepNext/>
      </w:pPr>
      <w:r>
        <w:rPr>
          <w:sz w:val="16"/>
        </w:rPr>
        <w:t>NVM Express | 发布 未确认 | 检索 2026-10-15 | standard | read</w:t>
      </w:r>
    </w:p>
    <w:p>
      <w:pPr>
        <w:keepNext/>
      </w:pPr>
      <w:r>
        <w:t>证据范围 NVMe PCIe/RDMA/TCP transport split, queues and IP networking; 2026 revisions shown on current page</w:t>
      </w:r>
    </w:p>
    <w:p>
      <w:r>
        <w:t>用于 从一块企业级 SSD 看懂整条产业链；从 SRAM 到磁带：AI 的内存与存储全景；SSD、网络存储、HDD 与磁带怎样服务 AI</w:t>
      </w:r>
    </w:p>
    <w:p>
      <w:pPr>
        <w:keepNext/>
      </w:pPr>
      <w:r>
        <w:rPr>
          <w:b/>
        </w:rPr>
        <w:t xml:space="preserve">[S021] </w:t>
      </w:r>
      <w:hyperlink r:id="rId176">
        <w:r>
          <w:rPr>
            <w:color w:val="4338CA"/>
          </w:rPr>
          <w:t>ScaleFlux FAQs</w:t>
        </w:r>
      </w:hyperlink>
    </w:p>
    <w:p>
      <w:pPr>
        <w:keepNext/>
      </w:pPr>
      <w:r>
        <w:rPr>
          <w:sz w:val="16"/>
        </w:rPr>
        <w:t>ScaleFlux | 发布 未确认 | 检索 2026-10-15 | official | search-excerpt</w:t>
      </w:r>
    </w:p>
    <w:p>
      <w:pPr>
        <w:keepNext/>
      </w:pPr>
      <w:r>
        <w:t xml:space="preserve">证据范围 主控集成的小块压缩与元数据处理；证据限于公开摘要</w:t>
      </w:r>
    </w:p>
    <w:p>
      <w:r>
        <w:t>用于 SSD、网络存储、HDD 与磁带怎样服务 AI；存储公司版图与可验证的投资问题</w:t>
      </w:r>
    </w:p>
    <w:p>
      <w:pPr>
        <w:keepNext/>
      </w:pPr>
      <w:r>
        <w:rPr>
          <w:b/>
        </w:rPr>
        <w:t xml:space="preserve">[S022] </w:t>
      </w:r>
      <w:hyperlink r:id="rId177">
        <w:r>
          <w:rPr>
            <w:color w:val="4338CA"/>
          </w:rPr>
          <w:t>ScaleFlux Reveals the CSD5000 for the AI Era</w:t>
        </w:r>
      </w:hyperlink>
    </w:p>
    <w:p>
      <w:pPr>
        <w:keepNext/>
      </w:pPr>
      <w:r>
        <w:rPr>
          <w:sz w:val="16"/>
        </w:rPr>
        <w:t>ScaleFlux | 发布 未确认 | 检索 2026-10-15 | official | search-excerpt</w:t>
      </w:r>
    </w:p>
    <w:p>
      <w:pPr>
        <w:keepNext/>
      </w:pPr>
      <w:r>
        <w:t xml:space="preserve">证据范围 FX5016 PCIe 5 主控与计算存储引擎；证据限于公开摘要</w:t>
      </w:r>
    </w:p>
    <w:p>
      <w:r>
        <w:t>用于 SSD、网络存储、HDD 与磁带怎样服务 AI；存储公司版图与可验证的投资问题</w:t>
      </w:r>
    </w:p>
    <w:p>
      <w:pPr>
        <w:keepNext/>
      </w:pPr>
      <w:r>
        <w:rPr>
          <w:b/>
        </w:rPr>
        <w:t xml:space="preserve">[S023] </w:t>
      </w:r>
      <w:hyperlink r:id="rId32">
        <w:r>
          <w:rPr>
            <w:color w:val="4338CA"/>
          </w:rPr>
          <w:t>Solidigm D7-PS1010 and D7-PS1030 Product Brief</w:t>
        </w:r>
      </w:hyperlink>
    </w:p>
    <w:p>
      <w:pPr>
        <w:keepNext/>
      </w:pPr>
      <w:r>
        <w:rPr>
          <w:sz w:val="16"/>
        </w:rPr>
        <w:t>Solidigm | 发布 未确认 | 检索 2026-10-15 | official | read</w:t>
      </w:r>
    </w:p>
    <w:p>
      <w:pPr>
        <w:keepNext/>
      </w:pPr>
      <w:r>
        <w:t>证据范围 Enterprise PCIe5 SSDs emphasize latency, QoS, endurance and AI pipeline qualifications</w:t>
      </w:r>
    </w:p>
    <w:p>
      <w:r>
        <w:t>用于 从一块企业级 SSD 看懂整条产业链；SSD、网络存储、HDD 与磁带怎样服务 AI；存储公司版图与可验证的投资问题</w:t>
      </w:r>
    </w:p>
    <w:p>
      <w:pPr>
        <w:keepNext/>
      </w:pPr>
      <w:r>
        <w:rPr>
          <w:b/>
        </w:rPr>
        <w:t xml:space="preserve">[S024] </w:t>
      </w:r>
      <w:hyperlink r:id="rId174">
        <w:r>
          <w:rPr>
            <w:color w:val="4338CA"/>
          </w:rPr>
          <w:t>Platform optimization for performance and endurance</w:t>
        </w:r>
      </w:hyperlink>
    </w:p>
    <w:p>
      <w:pPr>
        <w:keepNext/>
      </w:pPr>
      <w:r>
        <w:rPr>
          <w:sz w:val="16"/>
        </w:rPr>
        <w:t>Solidigm | 发布 未确认 | 检索 2026-10-15 | official | read</w:t>
      </w:r>
    </w:p>
    <w:p>
      <w:pPr>
        <w:keepNext/>
      </w:pPr>
      <w:r>
        <w:t>证据范围 CSAL host FTL aggregates small writes using cache/capacity tiers, workload configuration and preconditioning disclosed</w:t>
      </w:r>
    </w:p>
    <w:p>
      <w:r>
        <w:t>用于 SSD、网络存储、HDD 与磁带怎样服务 AI；存储公司版图与可验证的投资问题</w:t>
      </w:r>
    </w:p>
    <w:p>
      <w:pPr>
        <w:keepNext/>
      </w:pPr>
      <w:r>
        <w:rPr>
          <w:b/>
        </w:rPr>
        <w:t xml:space="preserve">[S025] </w:t>
      </w:r>
      <w:hyperlink r:id="rId20">
        <w:r>
          <w:rPr>
            <w:color w:val="4338CA"/>
          </w:rPr>
          <w:t>DPU-Native Distributed Flexible Storage Solution</w:t>
        </w:r>
      </w:hyperlink>
    </w:p>
    <w:p>
      <w:pPr>
        <w:keepNext/>
      </w:pPr>
      <w:r>
        <w:rPr>
          <w:sz w:val="16"/>
        </w:rPr>
        <w:t>Solidigm | 发布 未确认 | 检索 2026-10-15 | official | read</w:t>
      </w:r>
    </w:p>
    <w:p>
      <w:pPr>
        <w:keepNext/>
      </w:pPr>
      <w:r>
        <w:t>证据范围 Large-capacity QLC FTL DRAM/IU tradeoffs, DPU resources, cache and NVMe-oF reference architecture</w:t>
      </w:r>
    </w:p>
    <w:p>
      <w:r>
        <w:t>用于 从一块企业级 SSD 看懂整条产业链；从 SRAM 到磁带：AI 的内存与存储全景；SSD、网络存储、HDD 与磁带怎样服务 AI；存储公司版图与可验证的投资问题</w:t>
      </w:r>
    </w:p>
    <w:p>
      <w:pPr>
        <w:keepNext/>
      </w:pPr>
      <w:r>
        <w:rPr>
          <w:b/>
        </w:rPr>
        <w:t xml:space="preserve">[S026] </w:t>
      </w:r>
      <w:hyperlink r:id="rId29">
        <w:r>
          <w:rPr>
            <w:color w:val="4338CA"/>
          </w:rPr>
          <w:t>HBM4</w:t>
        </w:r>
      </w:hyperlink>
    </w:p>
    <w:p>
      <w:pPr>
        <w:keepNext/>
      </w:pPr>
      <w:r>
        <w:rPr>
          <w:sz w:val="16"/>
        </w:rPr>
        <w:t>Micron | 发布 未确认 | 检索 2026-10-15 | official | read</w:t>
      </w:r>
    </w:p>
    <w:p>
      <w:pPr>
        <w:keepNext/>
      </w:pPr>
      <w:r>
        <w:t>证据范围 DRAM die stack, TSV, good-die assembly/final test, 2048-bit bus and &gt;2.8TB/s vendor specification</w:t>
      </w:r>
    </w:p>
    <w:p>
      <w:r>
        <w:t>用于 从一块企业级 SSD 看懂整条产业链；从 SRAM 到磁带：AI 的内存与存储全景；存储公司版图与可验证的投资问题</w:t>
      </w:r>
    </w:p>
    <w:p>
      <w:pPr>
        <w:keepNext/>
      </w:pPr>
      <w:r>
        <w:rPr>
          <w:b/>
        </w:rPr>
        <w:t xml:space="preserve">[S027] </w:t>
      </w:r>
      <w:hyperlink r:id="rId157">
        <w:r>
          <w:rPr>
            <w:color w:val="4338CA"/>
          </w:rPr>
          <w:t>Micron in High-Volume Production of HBM4 Designed for NVIDIA Vera Rubin, PCIe Gen6 SSD and SOCAMM2</w:t>
        </w:r>
      </w:hyperlink>
    </w:p>
    <w:p>
      <w:pPr>
        <w:keepNext/>
      </w:pPr>
      <w:r>
        <w:rPr>
          <w:sz w:val="16"/>
        </w:rPr>
        <w:t>Micron | 发布 2026-03-16 | 检索 2026-10-15 | official | read</w:t>
      </w:r>
    </w:p>
    <w:p>
      <w:pPr>
        <w:keepNext/>
      </w:pPr>
      <w:r>
        <w:t>证据范围 Micron says HBM4 36GB 12H volume shipments began calendar Q1 2026; product family includes SOCAMM2 and PCIe6 SSD</w:t>
      </w:r>
    </w:p>
    <w:p>
      <w:r>
        <w:t>用于 从 SRAM 到磁带：AI 的内存与存储全景；存储公司版图与可验证的投资问题</w:t>
      </w:r>
    </w:p>
    <w:p>
      <w:pPr>
        <w:keepNext/>
      </w:pPr>
      <w:r>
        <w:rPr>
          <w:b/>
        </w:rPr>
        <w:t xml:space="preserve">[S028] </w:t>
      </w:r>
      <w:hyperlink r:id="rId156">
        <w:r>
          <w:rPr>
            <w:color w:val="4338CA"/>
          </w:rPr>
          <w:t>Samsung Ships Commercial HBM4</w:t>
        </w:r>
      </w:hyperlink>
    </w:p>
    <w:p>
      <w:pPr>
        <w:keepNext/>
      </w:pPr>
      <w:r>
        <w:rPr>
          <w:sz w:val="16"/>
        </w:rPr>
        <w:t>Samsung | 发布 2026-02-12 | 检索 2026-10-15 | official | read</w:t>
      </w:r>
    </w:p>
    <w:p>
      <w:pPr>
        <w:keepNext/>
      </w:pPr>
      <w:r>
        <w:t>证据范围 Samsung commercial HBM4 statement, 1c DRAM/4nm base die, 2048 I/O and rated-speed boundaries</w:t>
      </w:r>
    </w:p>
    <w:p>
      <w:r>
        <w:t>用于 从 SRAM 到磁带：AI 的内存与存储全景；存储公司版图与可验证的投资问题</w:t>
      </w:r>
    </w:p>
    <w:p>
      <w:pPr>
        <w:keepNext/>
      </w:pPr>
      <w:r>
        <w:rPr>
          <w:b/>
        </w:rPr>
        <w:t xml:space="preserve">[S029] </w:t>
      </w:r>
      <w:hyperlink r:id="rId168">
        <w:r>
          <w:rPr>
            <w:color w:val="4338CA"/>
          </w:rPr>
          <w:t>SK hynix Ships Samples of 12-Layer Next-Gen HBM4E</w:t>
        </w:r>
      </w:hyperlink>
    </w:p>
    <w:p>
      <w:pPr>
        <w:keepNext/>
      </w:pPr>
      <w:r>
        <w:rPr>
          <w:sz w:val="16"/>
        </w:rPr>
        <w:t>SK hynix | 发布 2026-06-18 | 检索 2026-10-15 | official | read</w:t>
      </w:r>
    </w:p>
    <w:p>
      <w:pPr>
        <w:keepNext/>
      </w:pPr>
      <w:r>
        <w:t>证据范围 HBM4E sample status and Advanced MR-MUF; no assumption all HBM uses hybrid bonding</w:t>
      </w:r>
    </w:p>
    <w:p>
      <w:r>
        <w:t>用于 从 SRAM 到磁带：AI 的内存与存储全景；存储公司版图与可验证的投资问题</w:t>
      </w:r>
    </w:p>
    <w:p>
      <w:pPr>
        <w:keepNext/>
      </w:pPr>
      <w:r>
        <w:rPr>
          <w:b/>
        </w:rPr>
        <w:t xml:space="preserve">[S030] </w:t>
      </w:r>
      <w:hyperlink r:id="rId162">
        <w:r>
          <w:rPr>
            <w:color w:val="4338CA"/>
          </w:rPr>
          <w:t>DRAM: Cell Array and Periphery Logic Scaling</w:t>
        </w:r>
      </w:hyperlink>
    </w:p>
    <w:p>
      <w:pPr>
        <w:keepNext/>
      </w:pPr>
      <w:r>
        <w:rPr>
          <w:sz w:val="16"/>
        </w:rPr>
        <w:t>Applied Materials | 发布 未确认 | 检索 2026-10-15 | official | read</w:t>
      </w:r>
    </w:p>
    <w:p>
      <w:pPr>
        <w:keepNext/>
      </w:pPr>
      <w:r>
        <w:t>证据范围 DRAM cell capacitor/transistor, HAR capacitor etch, peripheral HKMG and low-k interconnect roles</w:t>
      </w:r>
    </w:p>
    <w:p>
      <w:r>
        <w:t>用于 从 SRAM 到磁带：AI 的内存与存储全景</w:t>
      </w:r>
    </w:p>
    <w:p>
      <w:pPr>
        <w:keepNext/>
      </w:pPr>
      <w:r>
        <w:rPr>
          <w:b/>
        </w:rPr>
        <w:t xml:space="preserve">[S031] </w:t>
      </w:r>
      <w:hyperlink r:id="rId53">
        <w:r>
          <w:rPr>
            <w:color w:val="4338CA"/>
          </w:rPr>
          <w:t>Atomic Layer Deposition</w:t>
        </w:r>
      </w:hyperlink>
    </w:p>
    <w:p>
      <w:pPr>
        <w:keepNext/>
      </w:pPr>
      <w:r>
        <w:rPr>
          <w:sz w:val="16"/>
        </w:rPr>
        <w:t>ASM | 发布 未确认 | 检索 2026-10-15 | official | read</w:t>
      </w:r>
    </w:p>
    <w:p>
      <w:pPr>
        <w:keepNext/>
      </w:pPr>
      <w:r>
        <w:t>证据范围 Self-limiting conformal ALD, HKMG/MIM capacitor/dielectric applications and product platforms</w:t>
      </w:r>
    </w:p>
    <w:p>
      <w:r>
        <w:t>用于 NAND 的工艺、材料和设备怎样衔接；从 SRAM 到磁带：AI 的内存与存储全景；存储公司版图与可验证的投资问题</w:t>
      </w:r>
    </w:p>
    <w:p>
      <w:pPr>
        <w:keepNext/>
      </w:pPr>
      <w:r>
        <w:rPr>
          <w:b/>
        </w:rPr>
        <w:t xml:space="preserve">[S032] </w:t>
      </w:r>
      <w:hyperlink r:id="rId155">
        <w:r>
          <w:rPr>
            <w:color w:val="4338CA"/>
          </w:rPr>
          <w:t>AI SoC Memory Architecture Explained</w:t>
        </w:r>
      </w:hyperlink>
    </w:p>
    <w:p>
      <w:pPr>
        <w:keepNext/>
      </w:pPr>
      <w:r>
        <w:rPr>
          <w:sz w:val="16"/>
        </w:rPr>
        <w:t>Synopsys | 发布 2026-02-10 | 检索 2026-10-15 | official | read</w:t>
      </w:r>
    </w:p>
    <w:p>
      <w:pPr>
        <w:keepNext/>
      </w:pPr>
      <w:r>
        <w:t>证据范围 SRAM high-speed/small-block area/power tradeoffs and embedded-memory options</w:t>
      </w:r>
    </w:p>
    <w:p>
      <w:r>
        <w:t>用于 从 SRAM 到磁带：AI 的内存与存储全景</w:t>
      </w:r>
    </w:p>
    <w:p>
      <w:pPr>
        <w:keepNext/>
      </w:pPr>
      <w:r>
        <w:rPr>
          <w:b/>
        </w:rPr>
        <w:t xml:space="preserve">[S033] </w:t>
      </w:r>
      <w:hyperlink r:id="rId169">
        <w:r>
          <w:rPr>
            <w:color w:val="4338CA"/>
          </w:rPr>
          <w:t>CXMT Products</w:t>
        </w:r>
      </w:hyperlink>
    </w:p>
    <w:p>
      <w:pPr>
        <w:keepNext/>
      </w:pPr>
      <w:r>
        <w:rPr>
          <w:sz w:val="16"/>
        </w:rPr>
        <w:t>CXMT | 发布 未确认 | 检索 2026-10-15 | official | read</w:t>
      </w:r>
    </w:p>
    <w:p>
      <w:pPr>
        <w:keepNext/>
      </w:pPr>
      <w:r>
        <w:t>证据范围 Official DDR5 and LPDDR product portfolio; does not establish HBM production or full server parity</w:t>
      </w:r>
    </w:p>
    <w:p>
      <w:r>
        <w:t>用于 从 SRAM 到磁带：AI 的内存与存储全景；存储公司版图与可验证的投资问题</w:t>
      </w:r>
    </w:p>
    <w:p>
      <w:pPr>
        <w:keepNext/>
      </w:pPr>
      <w:r>
        <w:rPr>
          <w:b/>
        </w:rPr>
        <w:t xml:space="preserve">[S034] </w:t>
      </w:r>
      <w:hyperlink r:id="rId170">
        <w:r>
          <w:rPr>
            <w:color w:val="4338CA"/>
          </w:rPr>
          <w:t>Nanya Q4 2025 Investor Conference</w:t>
        </w:r>
      </w:hyperlink>
    </w:p>
    <w:p>
      <w:pPr>
        <w:keepNext/>
      </w:pPr>
      <w:r>
        <w:rPr>
          <w:sz w:val="16"/>
        </w:rPr>
        <w:t>Nanya | 发布 2026-01-19 | 检索 2026-10-15 | official | read</w:t>
      </w:r>
    </w:p>
    <w:p>
      <w:pPr>
        <w:keepNext/>
      </w:pPr>
      <w:r>
        <w:t>证据范围 PDF p.19 discusses 128GB DDR5 RDIMM functional status and DRAM roadmaps</w:t>
      </w:r>
    </w:p>
    <w:p>
      <w:r>
        <w:t>用于 从 SRAM 到磁带：AI 的内存与存储全景；存储公司版图与可验证的投资问题</w:t>
      </w:r>
    </w:p>
    <w:p>
      <w:pPr>
        <w:keepNext/>
      </w:pPr>
      <w:r>
        <w:rPr>
          <w:b/>
        </w:rPr>
        <w:t xml:space="preserve">[S035] </w:t>
      </w:r>
      <w:hyperlink r:id="rId171">
        <w:r>
          <w:rPr>
            <w:color w:val="4338CA"/>
          </w:rPr>
          <w:t>DDR/SDR Customized Memory Solution</w:t>
        </w:r>
      </w:hyperlink>
    </w:p>
    <w:p>
      <w:pPr>
        <w:keepNext/>
      </w:pPr>
      <w:r>
        <w:rPr>
          <w:sz w:val="16"/>
        </w:rPr>
        <w:t>Winbond | 发布 未确认 | 检索 2026-10-15 | official | read</w:t>
      </w:r>
    </w:p>
    <w:p>
      <w:pPr>
        <w:keepNext/>
      </w:pPr>
      <w:r>
        <w:t>证据范围 Specialty/mobile DRAM market positioning and product families</w:t>
      </w:r>
    </w:p>
    <w:p>
      <w:r>
        <w:t>用于 从 SRAM 到磁带：AI 的内存与存储全景；存储公司版图与可验证的投资问题</w:t>
      </w:r>
    </w:p>
    <w:p>
      <w:pPr>
        <w:keepNext/>
      </w:pPr>
      <w:r>
        <w:rPr>
          <w:b/>
        </w:rPr>
        <w:t xml:space="preserve">[S036] </w:t>
      </w:r>
      <w:hyperlink r:id="rId158">
        <w:r>
          <w:rPr>
            <w:color w:val="4338CA"/>
          </w:rPr>
          <w:t>DDR5 Server DIMM Chipset</w:t>
        </w:r>
      </w:hyperlink>
    </w:p>
    <w:p>
      <w:pPr>
        <w:keepNext/>
      </w:pPr>
      <w:r>
        <w:rPr>
          <w:sz w:val="16"/>
        </w:rPr>
        <w:t>Rambus | 发布 未确认 | 检索 2026-10-15 | official | read</w:t>
      </w:r>
    </w:p>
    <w:p>
      <w:pPr>
        <w:keepNext/>
      </w:pPr>
      <w:r>
        <w:t>证据范围 RDIMM RCD/PMIC/SPD/TS and MRDIMM MRCD/MDB; distinct command/address vs data roles</w:t>
      </w:r>
    </w:p>
    <w:p>
      <w:r>
        <w:t>用于 从 SRAM 到磁带：AI 的内存与存储全景；存储公司版图与可验证的投资问题</w:t>
      </w:r>
    </w:p>
    <w:p>
      <w:pPr>
        <w:keepNext/>
      </w:pPr>
      <w:r>
        <w:rPr>
          <w:b/>
        </w:rPr>
        <w:t xml:space="preserve">[S037] </w:t>
      </w:r>
      <w:hyperlink r:id="rId166">
        <w:r>
          <w:rPr>
            <w:color w:val="4338CA"/>
          </w:rPr>
          <w:t>Memory Interface Products Selection Guide</w:t>
        </w:r>
      </w:hyperlink>
    </w:p>
    <w:p>
      <w:pPr>
        <w:keepNext/>
      </w:pPr>
      <w:r>
        <w:rPr>
          <w:sz w:val="16"/>
        </w:rPr>
        <w:t>Montage Technology | 发布 未确认 | 检索 2026-10-15 | official | search-excerpt</w:t>
      </w:r>
    </w:p>
    <w:p>
      <w:pPr>
        <w:keepNext/>
      </w:pPr>
      <w:r>
        <w:t xml:space="preserve">证据范围 DDR5 RCD/DB and supporting SPD/TS/PMIC products; evidence limited to the published abstract</w:t>
      </w:r>
    </w:p>
    <w:p>
      <w:r>
        <w:t>用于 从 SRAM 到磁带：AI 的内存与存储全景；存储公司版图与可验证的投资问题</w:t>
      </w:r>
    </w:p>
    <w:p>
      <w:pPr>
        <w:keepNext/>
      </w:pPr>
      <w:r>
        <w:rPr>
          <w:b/>
        </w:rPr>
        <w:t xml:space="preserve">[S038] </w:t>
      </w:r>
      <w:hyperlink r:id="rId167">
        <w:r>
          <w:rPr>
            <w:color w:val="4338CA"/>
          </w:rPr>
          <w:t>DDR5 Solutions Product Selector</w:t>
        </w:r>
      </w:hyperlink>
    </w:p>
    <w:p>
      <w:pPr>
        <w:keepNext/>
      </w:pPr>
      <w:r>
        <w:rPr>
          <w:sz w:val="16"/>
        </w:rPr>
        <w:t>Renesas | 发布 未确认 | 检索 2026-10-15 | official | search-excerpt</w:t>
      </w:r>
    </w:p>
    <w:p>
      <w:pPr>
        <w:keepNext/>
      </w:pPr>
      <w:r>
        <w:t>证据范围 Renesas DDR5 RCD, PMIC and SPD hub product offerings</w:t>
      </w:r>
    </w:p>
    <w:p>
      <w:r>
        <w:t>用于 从 SRAM 到磁带：AI 的内存与存储全景；存储公司版图与可验证的投资问题</w:t>
      </w:r>
    </w:p>
    <w:p>
      <w:pPr>
        <w:keepNext/>
      </w:pPr>
      <w:r>
        <w:rPr>
          <w:b/>
        </w:rPr>
        <w:t xml:space="preserve">[S039] </w:t>
      </w:r>
      <w:hyperlink r:id="rId152">
        <w:r>
          <w:rPr>
            <w:color w:val="4338CA"/>
          </w:rPr>
          <w:t>Compute Express Link 3.0 White Paper</w:t>
        </w:r>
      </w:hyperlink>
    </w:p>
    <w:p>
      <w:pPr>
        <w:keepNext/>
      </w:pPr>
      <w:r>
        <w:rPr>
          <w:sz w:val="16"/>
        </w:rPr>
        <w:t>CXL Consortium | 发布 未确认 | 检索 2026-10-15 | standard | read</w:t>
      </w:r>
    </w:p>
    <w:p>
      <w:pPr>
        <w:keepNext/>
      </w:pPr>
      <w:r>
        <w:t>证据范围 Memory semantics, CXL2 pooling vs CXL3 coherent sharing and fabric; not generic NVMe block transport</w:t>
      </w:r>
    </w:p>
    <w:p>
      <w:r>
        <w:t>用于 从 SRAM 到磁带：AI 的内存与存储全景；SSD、网络存储、HDD 与磁带怎样服务 AI</w:t>
      </w:r>
    </w:p>
    <w:p>
      <w:pPr>
        <w:keepNext/>
      </w:pPr>
      <w:r>
        <w:rPr>
          <w:b/>
        </w:rPr>
        <w:t xml:space="preserve">[S040] </w:t>
      </w:r>
      <w:hyperlink r:id="rId153">
        <w:r>
          <w:rPr>
            <w:color w:val="4338CA"/>
          </w:rPr>
          <w:t>GPUDirect Storage Design Guide</w:t>
        </w:r>
      </w:hyperlink>
    </w:p>
    <w:p>
      <w:pPr>
        <w:keepNext/>
      </w:pPr>
      <w:r>
        <w:rPr>
          <w:sz w:val="16"/>
        </w:rPr>
        <w:t>NVIDIA | 发布 未确认 | 检索 2026-10-15 | official | read</w:t>
      </w:r>
    </w:p>
    <w:p>
      <w:pPr>
        <w:keepNext/>
      </w:pPr>
      <w:r>
        <w:t>证据范围 Direct DMA to GPU memory avoids CPU bounce buffer when supported; CPU still prepares communication</w:t>
      </w:r>
    </w:p>
    <w:p>
      <w:r>
        <w:t>用于 从 SRAM 到磁带：AI 的内存与存储全景；SSD、网络存储、HDD 与磁带怎样服务 AI；存储公司版图与可验证的投资问题</w:t>
      </w:r>
    </w:p>
    <w:p>
      <w:pPr>
        <w:keepNext/>
      </w:pPr>
      <w:r>
        <w:rPr>
          <w:b/>
        </w:rPr>
        <w:t xml:space="preserve">[S041] </w:t>
      </w:r>
      <w:hyperlink r:id="rId154">
        <w:r>
          <w:rPr>
            <w:color w:val="4338CA"/>
          </w:rPr>
          <w:t>Introducing BlueField-4-Powered CMX Context Memory Storage Platform</w:t>
        </w:r>
      </w:hyperlink>
    </w:p>
    <w:p>
      <w:pPr>
        <w:keepNext/>
      </w:pPr>
      <w:r>
        <w:rPr>
          <w:sz w:val="16"/>
        </w:rPr>
        <w:t>NVIDIA | 发布 2026-03-16 | 检索 2026-10-15 | official | read</w:t>
      </w:r>
    </w:p>
    <w:p>
      <w:pPr>
        <w:keepNext/>
      </w:pPr>
      <w:r>
        <w:t>证据范围 Pod-level flash KV cache tier, DPU/NVMe-oF and software pre-staging; vendor architecture/performance claims</w:t>
      </w:r>
    </w:p>
    <w:p>
      <w:r>
        <w:t>用于 从 SRAM 到磁带：AI 的内存与存储全景；SSD、网络存储、HDD 与磁带怎样服务 AI；存储公司版图与可验证的投资问题</w:t>
      </w:r>
    </w:p>
    <w:p>
      <w:pPr>
        <w:keepNext/>
      </w:pPr>
      <w:r>
        <w:rPr>
          <w:b/>
        </w:rPr>
        <w:t xml:space="preserve">[S042] </w:t>
      </w:r>
      <w:hyperlink r:id="rId178">
        <w:r>
          <w:rPr>
            <w:color w:val="4338CA"/>
          </w:rPr>
          <w:t>SK hynix Unveils First HBF Standard Specifications with Sandisk at FMS 2026</w:t>
        </w:r>
      </w:hyperlink>
    </w:p>
    <w:p>
      <w:pPr>
        <w:keepNext/>
      </w:pPr>
      <w:r>
        <w:rPr>
          <w:sz w:val="16"/>
        </w:rPr>
        <w:t>SK hynix | 发布 2026-08-04 | 检索 2026-10-15 | official | read</w:t>
      </w:r>
    </w:p>
    <w:p>
      <w:pPr>
        <w:keepNext/>
      </w:pPr>
      <w:r>
        <w:t>证据范围 HBF specification via OCP, tier between HBM/SSD and SK hynix NAND roadmap; not mass-adoption evidence</w:t>
      </w:r>
    </w:p>
    <w:p>
      <w:r>
        <w:t>用于 SSD、网络存储、HDD 与磁带怎样服务 AI；存储公司版图与可验证的投资问题</w:t>
      </w:r>
    </w:p>
    <w:p>
      <w:pPr>
        <w:keepNext/>
      </w:pPr>
      <w:r>
        <w:rPr>
          <w:b/>
        </w:rPr>
        <w:t xml:space="preserve">[S043] </w:t>
      </w:r>
      <w:hyperlink r:id="rId179">
        <w:r>
          <w:rPr>
            <w:color w:val="4338CA"/>
          </w:rPr>
          <w:t>Sandisk to Collaborate with SK hynix on HBF Standardization</w:t>
        </w:r>
      </w:hyperlink>
    </w:p>
    <w:p>
      <w:pPr>
        <w:keepNext/>
      </w:pPr>
      <w:r>
        <w:rPr>
          <w:sz w:val="16"/>
        </w:rPr>
        <w:t>Sandisk | 发布 2025-08-06 | 检索 2026-10-15 | official | read</w:t>
      </w:r>
    </w:p>
    <w:p>
      <w:pPr>
        <w:keepNext/>
      </w:pPr>
      <w:r>
        <w:t>证据范围 Stated target HBF samples H2 2026 and AI device samples early 2027; targets not treated as completed delivery</w:t>
      </w:r>
    </w:p>
    <w:p>
      <w:r>
        <w:t>用于 SSD、网络存储、HDD 与磁带怎样服务 AI；存储公司版图与可验证的投资问题</w:t>
      </w:r>
    </w:p>
    <w:p>
      <w:pPr>
        <w:keepNext/>
      </w:pPr>
      <w:r>
        <w:rPr>
          <w:b/>
        </w:rPr>
        <w:t xml:space="preserve">[S044] </w:t>
      </w:r>
      <w:hyperlink r:id="rId180">
        <w:r>
          <w:rPr>
            <w:color w:val="4338CA"/>
          </w:rPr>
          <w:t>Kioxia Announces New SSD Model Optimized for AI GPU-Initiated Workloads</w:t>
        </w:r>
      </w:hyperlink>
    </w:p>
    <w:p>
      <w:pPr>
        <w:keepNext/>
      </w:pPr>
      <w:r>
        <w:rPr>
          <w:sz w:val="16"/>
        </w:rPr>
        <w:t>Kioxia | 发布 2026-03-17 | 检索 2026-10-15 | official | search-excerpt</w:t>
      </w:r>
    </w:p>
    <w:p>
      <w:pPr>
        <w:keepNext/>
      </w:pPr>
      <w:r>
        <w:t>证据范围 GP Series Super High IOPS SSD development; evaluation samples to selected customers planned by end-2026</w:t>
      </w:r>
    </w:p>
    <w:p>
      <w:r>
        <w:t>用于 SSD、网络存储、HDD 与磁带怎样服务 AI；存储公司版图与可验证的投资问题</w:t>
      </w:r>
    </w:p>
    <w:p>
      <w:pPr>
        <w:keepNext/>
      </w:pPr>
      <w:r>
        <w:rPr>
          <w:b/>
        </w:rPr>
        <w:t xml:space="preserve">[S045] </w:t>
      </w:r>
      <w:hyperlink r:id="rId159">
        <w:r>
          <w:rPr>
            <w:color w:val="4338CA"/>
          </w:rPr>
          <w:t>Seagate Delivers Highest Capacity Hard Drives with Mozaic 4+</w:t>
        </w:r>
      </w:hyperlink>
    </w:p>
    <w:p>
      <w:pPr>
        <w:keepNext/>
      </w:pPr>
      <w:r>
        <w:rPr>
          <w:sz w:val="16"/>
        </w:rPr>
        <w:t>Seagate | 发布 2026-03-03 | 检索 2026-10-15 | official | read</w:t>
      </w:r>
    </w:p>
    <w:p>
      <w:pPr>
        <w:keepNext/>
      </w:pPr>
      <w:r>
        <w:t>证据范围 Vendor says up-to-44TB HAMR volume shipments to two hyperscale customers, vertically integrated lasers</w:t>
      </w:r>
    </w:p>
    <w:p>
      <w:r>
        <w:t>用于 从 SRAM 到磁带：AI 的内存与存储全景；SSD、网络存储、HDD 与磁带怎样服务 AI；存储公司版图与可验证的投资问题</w:t>
      </w:r>
    </w:p>
    <w:p>
      <w:pPr>
        <w:keepNext/>
      </w:pPr>
      <w:r>
        <w:rPr>
          <w:b/>
        </w:rPr>
        <w:t xml:space="preserve">[S046] </w:t>
      </w:r>
      <w:hyperlink r:id="rId163">
        <w:r>
          <w:rPr>
            <w:color w:val="4338CA"/>
          </w:rPr>
          <w:t>Mozaic: Nanophotonics and Superlattice Platinum-Alloy Media White Paper</w:t>
        </w:r>
      </w:hyperlink>
    </w:p>
    <w:p>
      <w:pPr>
        <w:keepNext/>
      </w:pPr>
      <w:r>
        <w:rPr>
          <w:sz w:val="16"/>
        </w:rPr>
        <w:t>Seagate | 发布 未确认 | 检索 2026-10-15 | official | read</w:t>
      </w:r>
    </w:p>
    <w:p>
      <w:pPr>
        <w:keepNext/>
      </w:pPr>
      <w:r>
        <w:t>证据范围 FePt alloy high anisotropy, crystalline underlayer/glass substrate, thin-film growth/annealing and recording technology</w:t>
      </w:r>
    </w:p>
    <w:p>
      <w:r>
        <w:t>用于 从 SRAM 到磁带：AI 的内存与存储全景；SSD、网络存储、HDD 与磁带怎样服务 AI；存储公司版图与可验证的投资问题</w:t>
      </w:r>
    </w:p>
    <w:p>
      <w:pPr>
        <w:keepNext/>
      </w:pPr>
      <w:r>
        <w:rPr>
          <w:b/>
        </w:rPr>
        <w:t xml:space="preserve">[S047] </w:t>
      </w:r>
      <w:hyperlink r:id="rId160">
        <w:r>
          <w:rPr>
            <w:color w:val="4338CA"/>
          </w:rPr>
          <w:t>Western Digital Accelerates Storage Innovation for AI Era</w:t>
        </w:r>
      </w:hyperlink>
    </w:p>
    <w:p>
      <w:pPr>
        <w:keepNext/>
      </w:pPr>
      <w:r>
        <w:rPr>
          <w:sz w:val="16"/>
        </w:rPr>
        <w:t>Western Digital | 发布 2026-02-03 | 检索 2026-10-15 | official | read</w:t>
      </w:r>
    </w:p>
    <w:p>
      <w:pPr>
        <w:keepNext/>
      </w:pPr>
      <w:r>
        <w:t>证据范围 40TB UltraSMR ePMR qualification and H2-2026 planned volume; ePMR/HAMR dual roadmap</w:t>
      </w:r>
    </w:p>
    <w:p>
      <w:r>
        <w:t>用于 从 SRAM 到磁带：AI 的内存与存储全景；SSD、网络存储、HDD 与磁带怎样服务 AI；存储公司版图与可验证的投资问题</w:t>
      </w:r>
    </w:p>
    <w:p>
      <w:pPr>
        <w:keepNext/>
      </w:pPr>
      <w:r>
        <w:rPr>
          <w:b/>
        </w:rPr>
        <w:t xml:space="preserve">[S048] </w:t>
      </w:r>
      <w:hyperlink r:id="rId181">
        <w:r>
          <w:rPr>
            <w:color w:val="4338CA"/>
          </w:rPr>
          <w:t>HDD Technology Evolution: Toshiba Article TSH186</w:t>
        </w:r>
      </w:hyperlink>
    </w:p>
    <w:p>
      <w:pPr>
        <w:keepNext/>
      </w:pPr>
      <w:r>
        <w:rPr>
          <w:sz w:val="16"/>
        </w:rPr>
        <w:t>Toshiba | 发布 未确认 | 检索 2026-10-15 | official | read</w:t>
      </w:r>
    </w:p>
    <w:p>
      <w:pPr>
        <w:keepNext/>
      </w:pPr>
      <w:r>
        <w:t>证据范围 Toshiba FC-MAMR magnetic recording approach</w:t>
      </w:r>
    </w:p>
    <w:p>
      <w:r>
        <w:t>用于 SSD、网络存储、HDD 与磁带怎样服务 AI；存储公司版图与可验证的投资问题</w:t>
      </w:r>
    </w:p>
    <w:p>
      <w:pPr>
        <w:keepNext/>
      </w:pPr>
      <w:r>
        <w:rPr>
          <w:b/>
        </w:rPr>
        <w:t xml:space="preserve">[S049] </w:t>
      </w:r>
      <w:hyperlink r:id="rId161">
        <w:r>
          <w:rPr>
            <w:color w:val="4338CA"/>
          </w:rPr>
          <w:t>IBM LTO Tape Drive</w:t>
        </w:r>
      </w:hyperlink>
    </w:p>
    <w:p>
      <w:pPr>
        <w:keepNext/>
      </w:pPr>
      <w:r>
        <w:rPr>
          <w:sz w:val="16"/>
        </w:rPr>
        <w:t>IBM | 发布 未确认 | 检索 2026-10-15 | official | read</w:t>
      </w:r>
    </w:p>
    <w:p>
      <w:pPr>
        <w:keepNext/>
      </w:pPr>
      <w:r>
        <w:t>证据范围 LTO10 30/40TB native vs 75/100TB compressed at 2.5:1 and drive/library operating context</w:t>
      </w:r>
    </w:p>
    <w:p>
      <w:r>
        <w:t>用于 从 SRAM 到磁带：AI 的内存与存储全景；SSD、网络存储、HDD 与磁带怎样服务 AI；存储公司版图与可验证的投资问题</w:t>
      </w:r>
    </w:p>
    <w:p>
      <w:pPr>
        <w:keepNext/>
      </w:pPr>
      <w:r>
        <w:rPr>
          <w:b/>
        </w:rPr>
        <w:t xml:space="preserve">[S050] </w:t>
      </w:r>
      <w:hyperlink r:id="rId191">
        <w:r>
          <w:rPr>
            <w:color w:val="4338CA"/>
          </w:rPr>
          <w:t>Western Digital Form 8-K: Flash Separation</w:t>
        </w:r>
      </w:hyperlink>
    </w:p>
    <w:p>
      <w:pPr>
        <w:keepNext/>
      </w:pPr>
      <w:r>
        <w:rPr>
          <w:sz w:val="16"/>
        </w:rPr>
        <w:t>Western Digital / US SEC | 发布 未确认 | 检索 2026-10-15 | official | read</w:t>
      </w:r>
    </w:p>
    <w:p>
      <w:pPr>
        <w:keepNext/>
      </w:pPr>
      <w:r>
        <w:t>证据范围 Legal separation date February 21 2025 and separate Sandisk flash entity; distinguishes Feb24 announcement/trading</w:t>
      </w:r>
    </w:p>
    <w:p>
      <w:r>
        <w:t>用于 存储公司版图与可验证的投资问题</w:t>
      </w:r>
    </w:p>
    <w:p>
      <w:pPr>
        <w:keepNext/>
      </w:pPr>
      <w:r>
        <w:rPr>
          <w:b/>
        </w:rPr>
        <w:t xml:space="preserve">[S051] </w:t>
      </w:r>
      <w:hyperlink r:id="rId190">
        <w:r>
          <w:rPr>
            <w:color w:val="4338CA"/>
          </w:rPr>
          <w:t>Spin-transfer Torque MRAM Technology</w:t>
        </w:r>
      </w:hyperlink>
    </w:p>
    <w:p>
      <w:pPr>
        <w:keepNext/>
      </w:pPr>
      <w:r>
        <w:rPr>
          <w:sz w:val="16"/>
        </w:rPr>
        <w:t>Everspin | 发布 未确认 | 检索 2026-10-15 | official | read</w:t>
      </w:r>
    </w:p>
    <w:p>
      <w:pPr>
        <w:keepNext/>
      </w:pPr>
      <w:r>
        <w:t>证据范围 MTJ magnetic-state persistent memory and product/application boundaries</w:t>
      </w:r>
    </w:p>
    <w:p>
      <w:r>
        <w:t>用于 存储公司版图与可验证的投资问题</w:t>
      </w:r>
    </w:p>
    <w:p>
      <w:pPr>
        <w:keepNext/>
      </w:pPr>
      <w:r>
        <w:rPr>
          <w:b/>
        </w:rPr>
        <w:t xml:space="preserve">[S052] </w:t>
      </w:r>
      <w:hyperlink r:id="rId196">
        <w:r>
          <w:rPr>
            <w:color w:val="4338CA"/>
          </w:rPr>
          <w:t>Scaling the Memory Wall: The Rise and Roadmap of HBM</w:t>
        </w:r>
      </w:hyperlink>
    </w:p>
    <w:p>
      <w:pPr>
        <w:keepNext/>
      </w:pPr>
      <w:r>
        <w:rPr>
          <w:sz w:val="16"/>
        </w:rPr>
        <w:t>SemiAnalysis | 发布 2025-08-12 | 检索 2026-10-15 | analysis | read</w:t>
      </w:r>
    </w:p>
    <w:p>
      <w:pPr>
        <w:keepNext/>
      </w:pPr>
      <w:r>
        <w:t>证据范围 Public article framing of capacity/bandwidth/latency/efficiency and HBM roadmap; paywalled data not relied upon</w:t>
      </w:r>
    </w:p>
    <w:p>
      <w:r>
        <w:t>用于 存储公司版图与可验证的投资问题</w:t>
      </w:r>
    </w:p>
    <w:p>
      <w:pPr>
        <w:keepNext/>
      </w:pPr>
      <w:r>
        <w:rPr>
          <w:b/>
        </w:rPr>
        <w:t xml:space="preserve">[S053] </w:t>
      </w:r>
      <w:hyperlink r:id="rId197">
        <w:r>
          <w:rPr>
            <w:color w:val="4338CA"/>
          </w:rPr>
          <w:t>Has Sandisk Escaped Its Punishing Cycle?</w:t>
        </w:r>
      </w:hyperlink>
    </w:p>
    <w:p>
      <w:pPr>
        <w:keepNext/>
      </w:pPr>
      <w:r>
        <w:rPr>
          <w:sz w:val="16"/>
        </w:rPr>
        <w:t>Seeking Alpha | 发布 未确认 | 检索 2026-10-15 | analysis | read</w:t>
      </w:r>
    </w:p>
    <w:p>
      <w:pPr>
        <w:keepNext/>
      </w:pPr>
      <w:r>
        <w:t>证据范围 Public abstract frames NAND cyclicality, valuation and product mix; no rating or paywalled dataset adopted</w:t>
      </w:r>
    </w:p>
    <w:p>
      <w:r>
        <w:t>用于 存储公司版图与可验证的投资问题</w:t>
      </w:r>
    </w:p>
    <w:p>
      <w:pPr>
        <w:keepNext/>
      </w:pPr>
      <w:r>
        <w:rPr>
          <w:b/>
        </w:rPr>
        <w:t xml:space="preserve">[S054] </w:t>
      </w:r>
      <w:hyperlink r:id="rId198">
        <w:r>
          <w:rPr>
            <w:color w:val="4338CA"/>
          </w:rPr>
          <w:t>SSD Basics v1.0</w:t>
        </w:r>
      </w:hyperlink>
    </w:p>
    <w:p>
      <w:pPr>
        <w:keepNext/>
      </w:pPr>
      <w:r>
        <w:rPr>
          <w:sz w:val="16"/>
        </w:rPr>
        <w:t>Reddit r/NewMaxx | 发布 未确认 | 检索 2026-10-15 | forum | search-excerpt</w:t>
      </w:r>
    </w:p>
    <w:p>
      <w:pPr>
        <w:keepNext/>
      </w:pPr>
      <w:r>
        <w:t>证据范围 Community topic map of FTL/TRIM/wear leveling/garbage collection, used for questions only not hardware truth</w:t>
      </w:r>
    </w:p>
    <w:p>
      <w:r>
        <w:t>用于 存储公司版图与可验证的投资问题</w:t>
      </w:r>
    </w:p>
    <w:p>
      <w:pPr>
        <w:keepNext/>
      </w:pPr>
      <w:r>
        <w:rPr>
          <w:b/>
        </w:rPr>
        <w:t xml:space="preserve">[S055] </w:t>
      </w:r>
      <w:hyperlink r:id="rId199">
        <w:r>
          <w:rPr>
            <w:color w:val="4338CA"/>
          </w:rPr>
          <w:t>Does MUs quarter actually help SNDK?</w:t>
        </w:r>
      </w:hyperlink>
    </w:p>
    <w:p>
      <w:pPr>
        <w:keepNext/>
      </w:pPr>
      <w:r>
        <w:rPr>
          <w:sz w:val="16"/>
        </w:rPr>
        <w:t>Reddit r/stocks | 发布 未确认 | 检索 2026-10-15 | forum | search-excerpt</w:t>
      </w:r>
    </w:p>
    <w:p>
      <w:pPr>
        <w:keepNext/>
      </w:pPr>
      <w:r>
        <w:t>证据范围 Investor question separates NAND exposure from HBM/DRAM; no forecasts, prices or capacity claims adopted</w:t>
      </w:r>
    </w:p>
    <w:p>
      <w:r>
        <w:t>用于 存储公司版图与可验证的投资问题</w:t>
      </w:r>
    </w:p>
    <w:p>
      <w:pPr>
        <w:keepNext/>
      </w:pPr>
      <w:r>
        <w:rPr>
          <w:b/>
        </w:rPr>
        <w:t xml:space="preserve">[S056] </w:t>
      </w:r>
      <w:hyperlink r:id="rId172">
        <w:r>
          <w:rPr>
            <w:color w:val="4338CA"/>
          </w:rPr>
          <w:t>HBM: Materials Innovation Propels High-Bandwidth Memory Into the AI Era</w:t>
        </w:r>
      </w:hyperlink>
    </w:p>
    <w:p>
      <w:pPr>
        <w:keepNext/>
      </w:pPr>
      <w:r>
        <w:rPr>
          <w:sz w:val="16"/>
        </w:rPr>
        <w:t>Applied Materials | 发布 2024-05-20 | 检索 2026-10-15 | official | read</w:t>
      </w:r>
    </w:p>
    <w:p>
      <w:pPr>
        <w:keepNext/>
      </w:pPr>
      <w:r>
        <w:t>证据范围 TSV and HBM packaging materials-engineering steps; historical layer-count/market forecasts not used as current</w:t>
      </w:r>
    </w:p>
    <w:p>
      <w:r>
        <w:t>用于 从 SRAM 到磁带：AI 的内存与存储全景；存储公司版图与可验证的投资问题</w:t>
      </w:r>
    </w:p>
    <w:p>
      <w:pPr>
        <w:keepNext/>
      </w:pPr>
      <w:r>
        <w:rPr>
          <w:b/>
        </w:rPr>
        <w:t xml:space="preserve">[S057] </w:t>
      </w:r>
      <w:hyperlink r:id="rId31">
        <w:r>
          <w:rPr>
            <w:color w:val="4338CA"/>
          </w:rPr>
          <w:t>Kioxia Commences Sample Shipments of 9th Generation 512Gb TLC</w:t>
        </w:r>
      </w:hyperlink>
    </w:p>
    <w:p>
      <w:pPr>
        <w:keepNext/>
      </w:pPr>
      <w:r>
        <w:rPr>
          <w:sz w:val="16"/>
        </w:rPr>
        <w:t>Kioxia | 发布 2025-07-25 | 检索 2026-10-15 | official | read</w:t>
      </w:r>
    </w:p>
    <w:p>
      <w:pPr>
        <w:keepNext/>
      </w:pPr>
      <w:r>
        <w:t>证据范围 9th-gen cost-oriented 120-layer process based on 5th generation plus advanced CMOS/CBA; generation not layer ranking</w:t>
      </w:r>
    </w:p>
    <w:p>
      <w:r>
        <w:t>用于 从一块企业级 SSD 看懂整条产业链；存储公司版图与可验证的投资问题</w:t>
      </w:r>
    </w:p>
    <w:p>
      <w:pPr>
        <w:keepNext/>
      </w:pPr>
      <w:r>
        <w:rPr>
          <w:b/>
        </w:rPr>
        <w:t xml:space="preserve">[S058] </w:t>
      </w:r>
      <w:hyperlink r:id="rId49">
        <w:r>
          <w:rPr>
            <w:color w:val="4338CA"/>
          </w:rPr>
          <w:t>Pure-Metal Replacement Gate for Reliable 30nm Pitch Scaled 3D NAND Flash</w:t>
        </w:r>
      </w:hyperlink>
    </w:p>
    <w:p>
      <w:pPr>
        <w:keepNext/>
      </w:pPr>
      <w:r>
        <w:rPr>
          <w:sz w:val="16"/>
        </w:rPr>
        <w:t>IEEE | 发布 未确认 | 检索 2026-10-15 | paper | search-excerpt</w:t>
      </w:r>
    </w:p>
    <w:p>
      <w:pPr>
        <w:keepNext/>
      </w:pPr>
      <w:r>
        <w:t>证据范围 Research Mo pure-metal gate, blocking oxide/high-k liner; experimental result not universal production recipe</w:t>
      </w:r>
    </w:p>
    <w:p>
      <w:r>
        <w:t>用于 NAND 的工艺、材料和设备怎样衔接</w:t>
      </w:r>
    </w:p>
    <w:p>
      <w:pPr>
        <w:keepNext/>
      </w:pPr>
      <w:r>
        <w:rPr>
          <w:b/>
        </w:rPr>
        <w:t xml:space="preserve">[S059] </w:t>
      </w:r>
      <w:hyperlink r:id="rId164">
        <w:r>
          <w:rPr>
            <w:color w:val="4338CA"/>
          </w:rPr>
          <w:t>Synopsys Foundation IP Product Overview</w:t>
        </w:r>
      </w:hyperlink>
    </w:p>
    <w:p>
      <w:pPr>
        <w:keepNext/>
      </w:pPr>
      <w:r>
        <w:rPr>
          <w:sz w:val="16"/>
        </w:rPr>
        <w:t>Synopsys | 发布 未确认 | 检索 2026-10-15 | official | search-excerpt</w:t>
      </w:r>
    </w:p>
    <w:p>
      <w:pPr>
        <w:keepNext/>
      </w:pPr>
      <w:r>
        <w:t xml:space="preserve">证据范围 嵌入式SRAM、寄存器文件、TCAM及工艺相关memory IP的类别；证据限于公开摘要</w:t>
      </w:r>
    </w:p>
    <w:p>
      <w:r>
        <w:t>用于 从 SRAM 到磁带：AI 的内存与存储全景</w:t>
      </w:r>
    </w:p>
    <w:p>
      <w:pPr>
        <w:keepNext/>
      </w:pPr>
      <w:r>
        <w:rPr>
          <w:b/>
        </w:rPr>
        <w:t xml:space="preserve">[S060] </w:t>
      </w:r>
      <w:hyperlink r:id="rId194">
        <w:r>
          <w:rPr>
            <w:color w:val="4338CA"/>
          </w:rPr>
          <w:t>Introduction to Memory</w:t>
        </w:r>
      </w:hyperlink>
    </w:p>
    <w:p>
      <w:pPr>
        <w:keepNext/>
      </w:pPr>
      <w:r>
        <w:rPr>
          <w:sz w:val="16"/>
        </w:rPr>
        <w:t>Micron | 发布 未确认 | 检索 2026-10-15 | official | search-excerpt</w:t>
      </w:r>
    </w:p>
    <w:p>
      <w:pPr>
        <w:keepNext/>
      </w:pPr>
      <w:r>
        <w:t>证据范围 DDR, LPDDR, GDDR and HBM are DRAM categories; modules and interface form factors distinguished</w:t>
      </w:r>
    </w:p>
    <w:p>
      <w:r>
        <w:t>用于 存储公司版图与可验证的投资问题</w:t>
      </w:r>
    </w:p>
    <w:p>
      <w:pPr>
        <w:keepNext/>
      </w:pPr>
      <w:r>
        <w:rPr>
          <w:b/>
        </w:rPr>
        <w:t xml:space="preserve">[S061] </w:t>
      </w:r>
      <w:hyperlink r:id="rId185">
        <w:r>
          <w:rPr>
            <w:color w:val="4338CA"/>
          </w:rPr>
          <w:t>Samsung Unveils Next-Gen 3D-Memory Vision at FMS 2026</w:t>
        </w:r>
      </w:hyperlink>
    </w:p>
    <w:p>
      <w:pPr>
        <w:keepNext/>
      </w:pPr>
      <w:r>
        <w:rPr>
          <w:sz w:val="16"/>
        </w:rPr>
        <w:t>Samsung | 发布 未确认 | 检索 2026-10-15 | official | search-excerpt</w:t>
      </w:r>
    </w:p>
    <w:p>
      <w:pPr>
        <w:keepNext/>
      </w:pPr>
      <w:r>
        <w:t>证据范围 Samsung DRAM/NAND/enterprise storage portfolio, V10 BV-NAND introduction versus concept-model status</w:t>
      </w:r>
    </w:p>
    <w:p>
      <w:r>
        <w:t>用于 存储公司版图与可验证的投资问题</w:t>
      </w:r>
    </w:p>
    <w:p>
      <w:pPr>
        <w:keepNext/>
      </w:pPr>
      <w:r>
        <w:rPr>
          <w:b/>
        </w:rPr>
        <w:t xml:space="preserve">[S062] </w:t>
      </w:r>
      <w:hyperlink r:id="rId193">
        <w:r>
          <w:rPr>
            <w:color w:val="4338CA"/>
          </w:rPr>
          <w:t>About SK: Investing in Industries Around the Globe</w:t>
        </w:r>
      </w:hyperlink>
    </w:p>
    <w:p>
      <w:pPr>
        <w:keepNext/>
      </w:pPr>
      <w:r>
        <w:rPr>
          <w:sz w:val="16"/>
        </w:rPr>
        <w:t>SK | 发布 未确认 | 检索 2026-10-15 | official | search-excerpt</w:t>
      </w:r>
    </w:p>
    <w:p>
      <w:pPr>
        <w:keepNext/>
      </w:pPr>
      <w:r>
        <w:t>证据范围 Identifies Solidigm as SK hynix subsidiary with US memory operations</w:t>
      </w:r>
    </w:p>
    <w:p>
      <w:r>
        <w:t>用于 存储公司版图与可验证的投资问题</w:t>
      </w:r>
    </w:p>
    <w:p>
      <w:pPr>
        <w:keepNext/>
      </w:pPr>
      <w:r>
        <w:rPr>
          <w:b/>
        </w:rPr>
        <w:t xml:space="preserve">[S063] </w:t>
      </w:r>
      <w:hyperlink r:id="rId189">
        <w:r>
          <w:rPr>
            <w:color w:val="4338CA"/>
          </w:rPr>
          <w:t>About Memblaze</w:t>
        </w:r>
      </w:hyperlink>
    </w:p>
    <w:p>
      <w:pPr>
        <w:keepNext/>
      </w:pPr>
      <w:r>
        <w:rPr>
          <w:sz w:val="16"/>
        </w:rPr>
        <w:t>Memblaze | 发布 未确认 | 检索 2026-10-15 | official | search-excerpt</w:t>
      </w:r>
    </w:p>
    <w:p>
      <w:pPr>
        <w:keepNext/>
      </w:pPr>
      <w:r>
        <w:t>证据范围 Beijing company offers PBlaze enterprise NVMe SSD products; company application claims not independent adoption measurement</w:t>
      </w:r>
    </w:p>
    <w:p>
      <w:r>
        <w:t>用于 存储公司版图与可验证的投资问题</w:t>
      </w:r>
    </w:p>
    <w:p>
      <w:pPr>
        <w:keepNext/>
      </w:pPr>
      <w:r>
        <w:rPr>
          <w:b/>
        </w:rPr>
        <w:t xml:space="preserve">[S064] </w:t>
      </w:r>
      <w:hyperlink r:id="rId188">
        <w:r>
          <w:rPr>
            <w:color w:val="4338CA"/>
          </w:rPr>
          <w:t>Phison Electronic Corporation 2025 Annual Report</w:t>
        </w:r>
      </w:hyperlink>
    </w:p>
    <w:p>
      <w:pPr>
        <w:keepNext/>
      </w:pPr>
      <w:r>
        <w:rPr>
          <w:sz w:val="16"/>
        </w:rPr>
        <w:t>Phison | 发布 未确认 | 检索 2026-10-15 | official | search-excerpt</w:t>
      </w:r>
    </w:p>
    <w:p>
      <w:pPr>
        <w:keepNext/>
      </w:pPr>
      <w:r>
        <w:t>证据范围 Phison SSD controllers E28 and E31T, PASCARI enterprise SSD brand and own development portfolio</w:t>
      </w:r>
    </w:p>
    <w:p>
      <w:r>
        <w:t>用于 存储公司版图与可验证的投资问题</w:t>
      </w:r>
    </w:p>
    <w:p>
      <w:pPr>
        <w:keepNext/>
      </w:pPr>
      <w:r>
        <w:rPr>
          <w:b/>
        </w:rPr>
        <w:t xml:space="preserve">[S065] </w:t>
      </w:r>
      <w:hyperlink r:id="rId187">
        <w:r>
          <w:rPr>
            <w:color w:val="4338CA"/>
          </w:rPr>
          <w:t>Enterprise SSD Controllers</w:t>
        </w:r>
      </w:hyperlink>
    </w:p>
    <w:p>
      <w:pPr>
        <w:keepNext/>
      </w:pPr>
      <w:r>
        <w:rPr>
          <w:sz w:val="16"/>
        </w:rPr>
        <w:t>InnoGrit | 发布 未确认 | 检索 2026-10-15 | official | search-excerpt</w:t>
      </w:r>
    </w:p>
    <w:p>
      <w:pPr>
        <w:keepNext/>
      </w:pPr>
      <w:r>
        <w:t>证据范围 Enterprise PCIe SSD controller offerings including IG5668; not customer shipment-volume evidence</w:t>
      </w:r>
    </w:p>
    <w:p>
      <w:r>
        <w:t>用于 存储公司版图与可验证的投资问题</w:t>
      </w:r>
    </w:p>
    <w:p>
      <w:pPr>
        <w:keepNext/>
      </w:pPr>
      <w:r>
        <w:rPr>
          <w:b/>
        </w:rPr>
        <w:t xml:space="preserve">[S066] </w:t>
      </w:r>
      <w:hyperlink r:id="rId195">
        <w:r>
          <w:rPr>
            <w:color w:val="4338CA"/>
          </w:rPr>
          <w:t>Micron GDDR7 Memory Product Brief</w:t>
        </w:r>
      </w:hyperlink>
    </w:p>
    <w:p>
      <w:pPr>
        <w:keepNext/>
      </w:pPr>
      <w:r>
        <w:rPr>
          <w:sz w:val="16"/>
        </w:rPr>
        <w:t>Micron | 发布 未确认 | 检索 2026-10-15 | official | search-excerpt</w:t>
      </w:r>
    </w:p>
    <w:p>
      <w:pPr>
        <w:keepNext/>
      </w:pPr>
      <w:r>
        <w:t>证据范围 GDDR7 DRAM addresses AI/gaming/HPC, distinct from HBM; no extrapolation of system bandwidth without bus configuration</w:t>
      </w:r>
    </w:p>
    <w:p>
      <w:r>
        <w:t>用于 存储公司版图与可验证的投资问题</w:t>
      </w:r>
    </w:p>
    <w:p>
      <w:pPr>
        <w:keepNext/>
      </w:pPr>
      <w:r>
        <w:rPr>
          <w:b/>
        </w:rPr>
        <w:t xml:space="preserve">[S067] </w:t>
      </w:r>
      <w:hyperlink r:id="rId165">
        <w:r>
          <w:rPr>
            <w:color w:val="4338CA"/>
          </w:rPr>
          <w:t>Atomic layer etching of ZrO2 thin films for DRAM capacitors using NF3 plasma and TiCl4</w:t>
        </w:r>
      </w:hyperlink>
    </w:p>
    <w:p>
      <w:pPr>
        <w:keepNext/>
      </w:pPr>
      <w:r>
        <w:rPr>
          <w:sz w:val="16"/>
        </w:rPr>
        <w:t>Ceramics International / Elsevier | 发布 未确认 | 检索 2026-10-15 | paper | search-excerpt</w:t>
      </w:r>
    </w:p>
    <w:p>
      <w:pPr>
        <w:keepNext/>
      </w:pPr>
      <w:r>
        <w:t>证据范围 Research ZrO2/Al2O3/TiN capacitor films and ALE; lab structure is not evidence of particular commercial customer recipe</w:t>
      </w:r>
    </w:p>
    <w:p>
      <w:r>
        <w:t>用于 从 SRAM 到磁带：AI 的内存与存储全景</w:t>
      </w:r>
    </w:p>
    <w:p>
      <w:pPr>
        <w:keepNext/>
      </w:pPr>
      <w:r>
        <w:rPr>
          <w:b/>
        </w:rPr>
        <w:t xml:space="preserve">[S068] </w:t>
      </w:r>
      <w:hyperlink r:id="rId30">
        <w:r>
          <w:rPr>
            <w:color w:val="4338CA"/>
          </w:rPr>
          <w:t>BiCS FLASH Generation 8 with CBA Technology</w:t>
        </w:r>
      </w:hyperlink>
    </w:p>
    <w:p>
      <w:pPr>
        <w:keepNext/>
      </w:pPr>
      <w:r>
        <w:rPr>
          <w:sz w:val="16"/>
        </w:rPr>
        <w:t>Kioxia | 发布 2025-01-22 | 检索 2026-10-15 | official | read</w:t>
      </w:r>
    </w:p>
    <w:p>
      <w:pPr>
        <w:keepNext/>
      </w:pPr>
      <w:r>
        <w:t>证据范围 NAND package example uses 16 stacked 2Tb dies; package-die count distinct from cell layer count</w:t>
      </w:r>
    </w:p>
    <w:p>
      <w:r>
        <w:t>用于 从一块企业级 SSD 看懂整条产业链；NAND 的工艺、材料和设备怎样衔接</w:t>
      </w:r>
    </w:p>
    <w:p>
      <w:pPr>
        <w:keepNext/>
      </w:pPr>
      <w:r>
        <w:rPr>
          <w:b/>
        </w:rPr>
        <w:t xml:space="preserve">[S069] </w:t>
      </w:r>
      <w:hyperlink r:id="rId182">
        <w:r>
          <w:rPr>
            <w:color w:val="4338CA"/>
          </w:rPr>
          <w:t>Capacity of TS4500 Supported LTO Tape Cartridges</w:t>
        </w:r>
      </w:hyperlink>
    </w:p>
    <w:p>
      <w:pPr>
        <w:keepNext/>
      </w:pPr>
      <w:r>
        <w:rPr>
          <w:sz w:val="16"/>
        </w:rPr>
        <w:t>IBM | 发布 未确认 | 检索 2026-10-15 | official | search-excerpt</w:t>
      </w:r>
    </w:p>
    <w:p>
      <w:pPr>
        <w:keepNext/>
      </w:pPr>
      <w:r>
        <w:t>证据范围 LTO10 30/40TB native and 75/100TB compressed, 2.5:1 capacity assumption</w:t>
      </w:r>
    </w:p>
    <w:p>
      <w:r>
        <w:t>用于 SSD、网络存储、HDD 与磁带怎样服务 AI</w:t>
      </w:r>
    </w:p>
    <w:p>
      <w:pPr>
        <w:keepNext/>
      </w:pPr>
      <w:r>
        <w:rPr>
          <w:b/>
        </w:rPr>
        <w:t xml:space="preserve">[S070] </w:t>
      </w:r>
      <w:hyperlink r:id="rId192">
        <w:r>
          <w:rPr>
            <w:color w:val="4338CA"/>
          </w:rPr>
          <w:t>Western Digital Completes Planned Company Separation</w:t>
        </w:r>
      </w:hyperlink>
    </w:p>
    <w:p>
      <w:pPr>
        <w:keepNext/>
      </w:pPr>
      <w:r>
        <w:rPr>
          <w:sz w:val="16"/>
        </w:rPr>
        <w:t>Western Digital | 发布 2025-02-24 | 检索 2026-10-15 | official | search-excerpt</w:t>
      </w:r>
    </w:p>
    <w:p>
      <w:pPr>
        <w:keepNext/>
      </w:pPr>
      <w:r>
        <w:t>证据范围 February 24 public announcement of flash business separation, distinct from February21 legal separation date</w:t>
      </w:r>
    </w:p>
    <w:p>
      <w:r>
        <w:t>用于 存储公司版图与可验证的投资问题</w:t>
      </w:r>
    </w:p>
    <w:p>
      <w:pPr>
        <w:keepNext/>
      </w:pPr>
      <w:r>
        <w:rPr>
          <w:b/>
        </w:rPr>
        <w:t xml:space="preserve">[S071] </w:t>
      </w:r>
      <w:hyperlink r:id="rId175">
        <w:r>
          <w:rPr>
            <w:color w:val="4338CA"/>
          </w:rPr>
          <w:t>Understanding SSD Endurance: TBW and DWPD</w:t>
        </w:r>
      </w:hyperlink>
    </w:p>
    <w:p>
      <w:pPr>
        <w:keepNext/>
      </w:pPr>
      <w:r>
        <w:rPr>
          <w:sz w:val="16"/>
        </w:rPr>
        <w:t>Kingston | 发布 未确认 | 检索 2026-10-15 | official | search-excerpt</w:t>
      </w:r>
    </w:p>
    <w:p>
      <w:pPr>
        <w:keepNext/>
      </w:pPr>
      <w:r>
        <w:t>证据范围 DWPD = TBW divided by user capacity and warranty days; endurance depends on workload and write amplification</w:t>
      </w:r>
    </w:p>
    <w:p>
      <w:r>
        <w:t>用于 SSD、网络存储、HDD 与磁带怎样服务 AI</w:t>
      </w:r>
    </w:p>
    <w:p>
      <w:pPr>
        <w:keepNext/>
      </w:pPr>
      <w:r>
        <w:rPr>
          <w:b/>
        </w:rPr>
        <w:t xml:space="preserve">[S072] </w:t>
      </w:r>
      <w:hyperlink r:id="rId51">
        <w:r>
          <w:rPr>
            <w:color w:val="4338CA"/>
          </w:rPr>
          <w:t>V10 BV-NAND: Pushing the Boundaries of AI Storage Beyond 400 Layers</w:t>
        </w:r>
      </w:hyperlink>
    </w:p>
    <w:p>
      <w:pPr>
        <w:keepNext/>
      </w:pPr>
      <w:r>
        <w:rPr>
          <w:sz w:val="16"/>
        </w:rPr>
        <w:t>Samsung | 发布 未确认 | 检索 2026-10-15 | official | read</w:t>
      </w:r>
    </w:p>
    <w:p>
      <w:pPr>
        <w:keepNext/>
      </w:pPr>
      <w:r>
        <w:t>证据范围 V10 separates 3-stack HARC Merge from cell/periphery wafer bonding; etch, conformality, clean, stress integration</w:t>
      </w:r>
    </w:p>
    <w:p>
      <w:r>
        <w:t>用于 NAND 的工艺、材料和设备怎样衔接</w:t>
      </w:r>
    </w:p>
    <w:p>
      <w:pPr>
        <w:keepNext/>
      </w:pPr>
      <w:r>
        <w:rPr>
          <w:b/>
        </w:rPr>
        <w:t xml:space="preserve">[S073] </w:t>
      </w:r>
      <w:hyperlink r:id="rId173">
        <w:r>
          <w:rPr>
            <w:color w:val="4338CA"/>
          </w:rPr>
          <w:t>EDSFF: A New Form Factor for Next Generation Servers and Storage</w:t>
        </w:r>
      </w:hyperlink>
    </w:p>
    <w:p>
      <w:pPr>
        <w:keepNext/>
      </w:pPr>
      <w:r>
        <w:rPr>
          <w:sz w:val="16"/>
        </w:rPr>
        <w:t>Kioxia | 发布 未确认 | 检索 2026-10-15 | official | read</w:t>
      </w:r>
    </w:p>
    <w:p>
      <w:pPr>
        <w:keepNext/>
      </w:pPr>
      <w:r>
        <w:t>证据范围 EDSFF E1/E3 form factor family and legacy M.2/U.2 context; physical form distinct from lane/interface configuration</w:t>
      </w:r>
    </w:p>
    <w:p>
      <w:r>
        <w:t>用于 SSD、网络存储、HDD 与磁带怎样服务 AI</w:t>
      </w:r>
    </w:p>
    <w:sectPr w:rsidR="00FC693F" w:rsidRPr="0006063C" w:rsidSect="00034616">
      <w:headerReference w:type="default" r:id="rId9"/>
      <w:footerReference w:type="default" r:id="rId10"/>
      <w:pgSz w:w="11909" w:h="16834"/>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研究截止 2026-10-15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AI INFRASTRUCTURE  /  CASPA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95" w:lineRule="auto"/>
    </w:pPr>
    <w:rPr>
      <w:rFonts w:ascii="Arial Unicode MS" w:hAnsi="Arial Unicode MS" w:eastAsia="Arial Unicode MS"/>
      <w:color w:val="1721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Unicode MS" w:hAnsi="Arial Unicode MS" w:eastAsia="Arial Unicode MS"/>
      <w:b/>
      <w:bCs/>
      <w:color w:val="172133"/>
      <w:sz w:val="3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Unicode MS" w:hAnsi="Arial Unicode MS" w:eastAsia="Arial Unicode MS"/>
      <w:b/>
      <w:bCs/>
      <w:color w:val="172133"/>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Unicode MS" w:hAnsi="Arial Unicode MS" w:eastAsia="Arial Unicode MS"/>
      <w:b/>
      <w:bCs/>
      <w:color w:val="1721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asciiTheme="majorHAnsi" w:eastAsiaTheme="majorEastAsia" w:hAnsiTheme="majorHAnsi" w:cstheme="majorBidi" w:ascii="Arial Unicode MS" w:hAnsi="Arial Unicode MS" w:eastAsia="Arial Unicode MS"/>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Unicode MS" w:hAnsi="Arial Unicode MS" w:eastAsia="Arial Unicode MS"/>
      <w:i/>
      <w:iCs/>
      <w:color w:val="172133"/>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Unicode MS" w:hAnsi="Arial Unicode MS" w:eastAsia="Arial Unicode MS"/>
      <w:color w:val="1721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contextualSpacing/>
    </w:pPr>
    <w:rPr>
      <w:rFonts w:ascii="Arial Unicode MS" w:hAnsi="Arial Unicode MS" w:eastAsia="Arial Unicode MS"/>
      <w:color w:val="172133"/>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nvidianews.nvidia.com/news/nvidia-vera-rubin-platform" TargetMode="External"/><Relationship Id="rId12" Type="http://schemas.openxmlformats.org/officeDocument/2006/relationships/hyperlink" Target="https://www.amd.com/en/products/accelerators/instinct/mi400.html" TargetMode="External"/><Relationship Id="rId13" Type="http://schemas.openxmlformats.org/officeDocument/2006/relationships/hyperlink" Target="https://caspaceosummit.com/speakers/" TargetMode="External"/><Relationship Id="rId14" Type="http://schemas.openxmlformats.org/officeDocument/2006/relationships/hyperlink" Target="https://semianalysis.com/models-research/" TargetMode="External"/><Relationship Id="rId15" Type="http://schemas.openxmlformats.org/officeDocument/2006/relationships/hyperlink" Target="https://seekingalpha.com/article/4889636-ai-capex-surge-bottlenecks-and-the-race-for-roi" TargetMode="External"/><Relationship Id="rId16" Type="http://schemas.openxmlformats.org/officeDocument/2006/relationships/hyperlink" Target="https://www.kingston.com/unitedkingdom/en/ssd/data-protection" TargetMode="External"/><Relationship Id="rId17" Type="http://schemas.openxmlformats.org/officeDocument/2006/relationships/hyperlink" Target="https://www.siliconmotion.com/chs/products/client/detail" TargetMode="External"/><Relationship Id="rId18" Type="http://schemas.openxmlformats.org/officeDocument/2006/relationships/hyperlink" Target="https://www.kioxia.com/en-jp/about/news/2026/20260703-1.html" TargetMode="External"/><Relationship Id="rId19" Type="http://schemas.openxmlformats.org/officeDocument/2006/relationships/hyperlink" Target="https://nvmexpress.org/specification/tcp-transport-specification/" TargetMode="External"/><Relationship Id="rId20" Type="http://schemas.openxmlformats.org/officeDocument/2006/relationships/hyperlink" Target="https://www.solidigm.com/products/technology/dpu-native-distributed-flexible-storage.html" TargetMode="External"/><Relationship Id="rId21" Type="http://schemas.openxmlformats.org/officeDocument/2006/relationships/hyperlink" Target="https://www.solidigm.com/products/technology/qlc-nand-ready-for-mainstream-use-in-data-center.html" TargetMode="External"/><Relationship Id="rId22" Type="http://schemas.openxmlformats.org/officeDocument/2006/relationships/hyperlink" Target="https://www.kingston.com/en/blog/servers-and-data-centers/ssd-power-loss-protection" TargetMode="External"/><Relationship Id="rId23" Type="http://schemas.openxmlformats.org/officeDocument/2006/relationships/hyperlink" Target="https://www.snia.org/forums/sssi/pts" TargetMode="External"/><Relationship Id="rId24" Type="http://schemas.openxmlformats.org/officeDocument/2006/relationships/image" Target="media/image1.png"/><Relationship Id="rId25" Type="http://schemas.openxmlformats.org/officeDocument/2006/relationships/hyperlink" Target="https://www.kioxia.com/en-jp/business/topics/bics-cba-202407.html" TargetMode="External"/><Relationship Id="rId26" Type="http://schemas.openxmlformats.org/officeDocument/2006/relationships/hyperlink" Target="https://www.ymtc.com/en/technicalintroduction.html" TargetMode="External"/><Relationship Id="rId27" Type="http://schemas.openxmlformats.org/officeDocument/2006/relationships/hyperlink" Target="https://www.appliedmaterials.com/sg/en/semiconductor/markets-and-inflections/memory/3d-nand.html" TargetMode="External"/><Relationship Id="rId28" Type="http://schemas.openxmlformats.org/officeDocument/2006/relationships/hyperlink" Target="https://www.entegris.com/en/home/resources/reference-materials/white-papers/solving-3d-nand-material-integration-challenges-8551/96-layers-and-beyond-introduction.html" TargetMode="External"/><Relationship Id="rId29" Type="http://schemas.openxmlformats.org/officeDocument/2006/relationships/hyperlink" Target="https://www.micron.com/products/memory/hbm/hbm4" TargetMode="External"/><Relationship Id="rId30" Type="http://schemas.openxmlformats.org/officeDocument/2006/relationships/hyperlink" Target="https://europe.kioxia.com/content/dam/kioxia/en-europe/business/memory/asset/KIE_NL_20250122-1_EN.pdf" TargetMode="External"/><Relationship Id="rId31" Type="http://schemas.openxmlformats.org/officeDocument/2006/relationships/hyperlink" Target="https://europe.kioxia.com/content/dam/kioxia/en-europe/business/news/2025/asset/KIE_PR_20250725-1_EN.pdf" TargetMode="External"/><Relationship Id="rId32" Type="http://schemas.openxmlformats.org/officeDocument/2006/relationships/hyperlink" Target="https://www.solidigm.com/products/data-center/product-briefs/solidigm-d7-ps1010-ps1030-product-brief.html" TargetMode="External"/><Relationship Id="rId33" Type="http://schemas.openxmlformats.org/officeDocument/2006/relationships/hyperlink" Target="https://www.tel.com/news/product/2023/20230609_001.html" TargetMode="External"/><Relationship Id="rId34" Type="http://schemas.openxmlformats.org/officeDocument/2006/relationships/hyperlink" Target="https://www.appliedmaterials.com/us/en/newsroom/press-releases/061526-applied-materials-unveils-deposition-selective-etch-systems-to-advance-3d-chip-scaling.html" TargetMode="External"/><Relationship Id="rId35" Type="http://schemas.openxmlformats.org/officeDocument/2006/relationships/hyperlink" Target="https://www.entegris.com/content/dam/web/resources/reports/entegris-scientific-report-2022-12193.pdf" TargetMode="External"/><Relationship Id="rId36" Type="http://schemas.openxmlformats.org/officeDocument/2006/relationships/hyperlink" Target="https://arxiv.org/abs/2309.06180" TargetMode="External"/><Relationship Id="rId37" Type="http://schemas.openxmlformats.org/officeDocument/2006/relationships/hyperlink" Target="https://vllm.ai/blog/2025-09-05-anatomy-of-vllm" TargetMode="External"/><Relationship Id="rId38" Type="http://schemas.openxmlformats.org/officeDocument/2006/relationships/hyperlink" Target="https://docs.nvidia.com/dgx/dgxgb200-user-guide/networking.html" TargetMode="External"/><Relationship Id="rId39" Type="http://schemas.openxmlformats.org/officeDocument/2006/relationships/hyperlink" Target="https://www.arista.com/assets/data/pdf/AI-Network-Fabric_Deployment_Guide.pdf" TargetMode="External"/><Relationship Id="rId40" Type="http://schemas.openxmlformats.org/officeDocument/2006/relationships/hyperlink" Target="https://ualinkconsortium.org/about-ualink/" TargetMode="External"/><Relationship Id="rId41" Type="http://schemas.openxmlformats.org/officeDocument/2006/relationships/image" Target="media/image2.png"/><Relationship Id="rId42" Type="http://schemas.openxmlformats.org/officeDocument/2006/relationships/image" Target="media/image3.png"/><Relationship Id="rId43" Type="http://schemas.openxmlformats.org/officeDocument/2006/relationships/hyperlink" Target="https://docs.cloud.google.com/tpu/docs/tpu7x" TargetMode="External"/><Relationship Id="rId44" Type="http://schemas.openxmlformats.org/officeDocument/2006/relationships/hyperlink" Target="https://pcisig.com/specifications/pcie-70-specification-version-03-now-available-members" TargetMode="External"/><Relationship Id="rId45" Type="http://schemas.openxmlformats.org/officeDocument/2006/relationships/hyperlink" Target="https://computeexpresslink.org/wp-content/uploads/2025/11/CXL_4.0-Specification-Release_FINAL_Website-Copy.pdf" TargetMode="External"/><Relationship Id="rId46" Type="http://schemas.openxmlformats.org/officeDocument/2006/relationships/hyperlink" Target="https://mlcommons.org/benchmarks/inference-datacenter/" TargetMode="External"/><Relationship Id="rId47" Type="http://schemas.openxmlformats.org/officeDocument/2006/relationships/hyperlink" Target="https://www.mdpi.com/2079-9292/10/24/3156" TargetMode="External"/><Relationship Id="rId48" Type="http://schemas.openxmlformats.org/officeDocument/2006/relationships/hyperlink" Target="https://www.sciencedirect.com/science/article/pii/S2666998624006392" TargetMode="External"/><Relationship Id="rId49" Type="http://schemas.openxmlformats.org/officeDocument/2006/relationships/hyperlink" Target="https://xplorestaging.ieee.org/document/10536954" TargetMode="External"/><Relationship Id="rId50" Type="http://schemas.openxmlformats.org/officeDocument/2006/relationships/hyperlink" Target="https://www.lamresearch.com/products/our-solutions/cryogenic-etching/" TargetMode="External"/><Relationship Id="rId51" Type="http://schemas.openxmlformats.org/officeDocument/2006/relationships/hyperlink" Target="https://semiconductor.samsung.com/news-events/tech-blog/fms-2026-3d-nand-innovation-award-v10-bv-nand-pushing-the-boundaries-of-ai-storage-beyond-400-layers/" TargetMode="External"/><Relationship Id="rId52" Type="http://schemas.openxmlformats.org/officeDocument/2006/relationships/hyperlink" Target="https://www.merckgroup.com/business-specifics/performance-materials/Semiconductors/us/ald-2020/Thin-Film-Solutions-Offering-US.pdf" TargetMode="External"/><Relationship Id="rId53" Type="http://schemas.openxmlformats.org/officeDocument/2006/relationships/hyperlink" Target="https://www.asm.com/our-technology-products/ald" TargetMode="External"/><Relationship Id="rId54" Type="http://schemas.openxmlformats.org/officeDocument/2006/relationships/hyperlink" Target="https://www.opencompute.org/documents/ocp-open-rack-v3-power-shelf-rev-1-0-1-pdf" TargetMode="External"/><Relationship Id="rId55" Type="http://schemas.openxmlformats.org/officeDocument/2006/relationships/hyperlink" Target="https://www.siemens.com/en-us/industries/data-centers/" TargetMode="External"/><Relationship Id="rId56" Type="http://schemas.openxmlformats.org/officeDocument/2006/relationships/hyperlink" Target="https://info.support.huawei.com/Energy/info/en_US/all/docView/EDOC1100335415" TargetMode="External"/><Relationship Id="rId57" Type="http://schemas.openxmlformats.org/officeDocument/2006/relationships/hyperlink" Target="https://www.coolitsystems.com/products-services/data-center-products/cooling-distribution-units/" TargetMode="External"/><Relationship Id="rId58" Type="http://schemas.openxmlformats.org/officeDocument/2006/relationships/hyperlink" Target="https://www.opencompute.org/documents/ocp-acs-liquid-cooling-cold-plate-requirements-pdf" TargetMode="External"/><Relationship Id="rId59" Type="http://schemas.openxmlformats.org/officeDocument/2006/relationships/hyperlink" Target="https://blogs.nvidia.com/blog/800-vdc-power-architecture-ai-factory/" TargetMode="External"/><Relationship Id="rId60" Type="http://schemas.openxmlformats.org/officeDocument/2006/relationships/hyperlink" Target="https://www.iea.org/reports/key-questions-on-energy-and-ai/executive-summary" TargetMode="External"/><Relationship Id="rId61" Type="http://schemas.openxmlformats.org/officeDocument/2006/relationships/hyperlink" Target="https://www.eaton.com/us/en-us/company/news-insights/news-releases/2026/eaton-expands-operations-in-nebraska-with-new-manufacturing-facility.html" TargetMode="External"/><Relationship Id="rId62" Type="http://schemas.openxmlformats.org/officeDocument/2006/relationships/hyperlink" Target="https://www.cummins.com/en-na/generators/data-centers" TargetMode="External"/><Relationship Id="rId63" Type="http://schemas.openxmlformats.org/officeDocument/2006/relationships/hyperlink" Target="https://www.infineon.com/assets/row/public/images/corporate/investors/presentations/2025-08-05-q3-fy25-investor-presentation-v01-00-en.pdf" TargetMode="External"/><Relationship Id="rId64" Type="http://schemas.openxmlformats.org/officeDocument/2006/relationships/hyperlink" Target="https://www.se.com/in/en/product-range/62082-ibusway-for-data-center/" TargetMode="External"/><Relationship Id="rId65" Type="http://schemas.openxmlformats.org/officeDocument/2006/relationships/hyperlink" Target="https://www.prysmian.com/sites/www.prysmian.com/files/media/documents/Data%20Centre.pdf" TargetMode="External"/><Relationship Id="rId66" Type="http://schemas.openxmlformats.org/officeDocument/2006/relationships/hyperlink" Target="https://www.eaton.com/us/en-us/products/backup-power-ups-surge-it-power-distribution/power-distribution-for-it-equipment/power-distribution-units-for-server-racks.html" TargetMode="External"/><Relationship Id="rId67" Type="http://schemas.openxmlformats.org/officeDocument/2006/relationships/hyperlink" Target="https://media.monolithicpower.com/mps_cms_document/d/i/digital-48v_datacenter_solution-q4_2024.pdf" TargetMode="External"/><Relationship Id="rId68" Type="http://schemas.openxmlformats.org/officeDocument/2006/relationships/hyperlink" Target="https://www.infineon.com/press-release/2025/INFXX202505-107" TargetMode="External"/><Relationship Id="rId69" Type="http://schemas.openxmlformats.org/officeDocument/2006/relationships/hyperlink" Target="https://www.tdk-electronics.tdk.com/en/3689828/campaigns/ai-data-center-electronics" TargetMode="External"/><Relationship Id="rId70" Type="http://schemas.openxmlformats.org/officeDocument/2006/relationships/hyperlink" Target="https://www.boydcorp.com/engineered-materials/thermal-interface-materials.html" TargetMode="External"/><Relationship Id="rId71" Type="http://schemas.openxmlformats.org/officeDocument/2006/relationships/hyperlink" Target="https://www.kehua.com/newsroom/kehua-presents-coordinated-computing-power-cooling-approach-2026.html" TargetMode="External"/><Relationship Id="rId72" Type="http://schemas.openxmlformats.org/officeDocument/2006/relationships/hyperlink" Target="https://filecenter.deltaww.com/ir/download/calendar/20250529_Minutes%20of%202025AGM_Eng.pdf" TargetMode="External"/><Relationship Id="rId73" Type="http://schemas.openxmlformats.org/officeDocument/2006/relationships/hyperlink" Target="https://en.envicool.com/upload/download/Coolinside%20Full%20Chain%20Liquid%20Cooling%20Solution.pdf" TargetMode="External"/><Relationship Id="rId74" Type="http://schemas.openxmlformats.org/officeDocument/2006/relationships/hyperlink" Target="https://www.ashrae.org/technical-resources/topics-and-initiatives/ai-data-center/introduction-and-purpose" TargetMode="External"/><Relationship Id="rId75" Type="http://schemas.openxmlformats.org/officeDocument/2006/relationships/hyperlink" Target="https://www.boydcorp.com/thermal/liquid-cooling-systems/liquid-cold-plates/cold-plates-for-ai-server-cooling.html" TargetMode="External"/><Relationship Id="rId76" Type="http://schemas.openxmlformats.org/officeDocument/2006/relationships/hyperlink" Target="https://www.vertiv.com/4ae016/globalassets/products/thermal-management/high-density-solutions/liebert-xdu-coolant-distribution-units/vertiv-liebert-xdu1350-coolant-distribution-unit-application-and-planning-guide-xdu1350b-sl-71309.pdf" TargetMode="External"/><Relationship Id="rId77" Type="http://schemas.openxmlformats.org/officeDocument/2006/relationships/hyperlink" Target="https://www.coolitsystems.com/resources/news/chx2000-the-ai-cdu/" TargetMode="External"/><Relationship Id="rId78" Type="http://schemas.openxmlformats.org/officeDocument/2006/relationships/hyperlink" Target="https://docs.nvidia.com/dgx/dgxgb200-service-manual/safety.html" TargetMode="External"/><Relationship Id="rId79" Type="http://schemas.openxmlformats.org/officeDocument/2006/relationships/hyperlink" Target="https://www.corning.com/content/dam/corning/microsites/coc/oem/documents/OEM-107-AEN.pdf" TargetMode="External"/><Relationship Id="rId80" Type="http://schemas.openxmlformats.org/officeDocument/2006/relationships/hyperlink" Target="https://sumitomoelectric.com/rd/info-communications" TargetMode="External"/><Relationship Id="rId81" Type="http://schemas.openxmlformats.org/officeDocument/2006/relationships/hyperlink" Target="https://www.furukawaelectric.com/en/ir/library/briefing-materials/pdf/2025/20251204.pdf" TargetMode="External"/><Relationship Id="rId82" Type="http://schemas.openxmlformats.org/officeDocument/2006/relationships/hyperlink" Target="https://www.hyosung.com/en/newsroom/view/19249" TargetMode="External"/><Relationship Id="rId83" Type="http://schemas.openxmlformats.org/officeDocument/2006/relationships/hyperlink" Target="https://www.lselectricamerica.com/wp-content/uploads/RPP_EN_C800%E2%93%942-02-202512.pdf" TargetMode="External"/><Relationship Id="rId84" Type="http://schemas.openxmlformats.org/officeDocument/2006/relationships/hyperlink" Target="https://www.reddit.com/r/datacenter/comments/1kw813i/direct_to_chip_cooling_implementation/" TargetMode="External"/><Relationship Id="rId85" Type="http://schemas.openxmlformats.org/officeDocument/2006/relationships/hyperlink" Target="https://networking-docs.nvidia.com/bf3dpu/introduction" TargetMode="External"/><Relationship Id="rId86" Type="http://schemas.openxmlformats.org/officeDocument/2006/relationships/hyperlink" Target="https://www.marvell.com/solutions/data-center/optical-dsp.html" TargetMode="External"/><Relationship Id="rId87" Type="http://schemas.openxmlformats.org/officeDocument/2006/relationships/hyperlink" Target="https://www.semtech.com/products/signal-integrity/data-center" TargetMode="External"/><Relationship Id="rId88" Type="http://schemas.openxmlformats.org/officeDocument/2006/relationships/hyperlink" Target="https://developer.nvidia.com/blog/nvidia-nvlink-the-scale-up-network-for-ai-factories/" TargetMode="External"/><Relationship Id="rId89" Type="http://schemas.openxmlformats.org/officeDocument/2006/relationships/hyperlink" Target="https://ultraethernet.org/ultra-ethernet-consortium-uec-launches-specification-1-0-transforming-ethernet-for-ai-and-hpc-at-scale/" TargetMode="External"/><Relationship Id="rId90" Type="http://schemas.openxmlformats.org/officeDocument/2006/relationships/hyperlink" Target="https://www.oiforum.com/wp-content/uploads/OIF-ELSFP-02.0-1.pdf" TargetMode="External"/><Relationship Id="rId91" Type="http://schemas.openxmlformats.org/officeDocument/2006/relationships/hyperlink" Target="https://www.asteralabs.com/products/pcie-cxl-smart-dsp-retimers/" TargetMode="External"/><Relationship Id="rId92" Type="http://schemas.openxmlformats.org/officeDocument/2006/relationships/hyperlink" Target="https://ultraethernet.org/specification-history/" TargetMode="External"/><Relationship Id="rId93" Type="http://schemas.openxmlformats.org/officeDocument/2006/relationships/hyperlink" Target="https://www.ciena.com/solutions/dci-scale-across-networks" TargetMode="External"/><Relationship Id="rId94" Type="http://schemas.openxmlformats.org/officeDocument/2006/relationships/hyperlink" Target="https://blogs.arista.com/blog/powering-ai-centers-with-ai-spines" TargetMode="External"/><Relationship Id="rId95" Type="http://schemas.openxmlformats.org/officeDocument/2006/relationships/hyperlink" Target="https://blogs.arista.com/blog/three-genius-ideas-for-ai-fabrics" TargetMode="External"/><Relationship Id="rId96" Type="http://schemas.openxmlformats.org/officeDocument/2006/relationships/hyperlink" Target="https://www.ieee802.org/3/df/index.html" TargetMode="External"/><Relationship Id="rId97" Type="http://schemas.openxmlformats.org/officeDocument/2006/relationships/hyperlink" Target="https://www.semtech.com/technology/copperedge" TargetMode="External"/><Relationship Id="rId98" Type="http://schemas.openxmlformats.org/officeDocument/2006/relationships/hyperlink" Target="https://credosemi.com/" TargetMode="External"/><Relationship Id="rId99" Type="http://schemas.openxmlformats.org/officeDocument/2006/relationships/hyperlink" Target="https://www.semtech.com/technology/fiberedge-directedge" TargetMode="External"/><Relationship Id="rId100" Type="http://schemas.openxmlformats.org/officeDocument/2006/relationships/hyperlink" Target="https://innolight.com/en/goods/solution.html" TargetMode="External"/><Relationship Id="rId101" Type="http://schemas.openxmlformats.org/officeDocument/2006/relationships/hyperlink" Target="https://www.oiforum.com/wp-content/uploads/OIF_ECOC2025_Demo_Eoptolink_Promo.pdf" TargetMode="External"/><Relationship Id="rId102" Type="http://schemas.openxmlformats.org/officeDocument/2006/relationships/image" Target="media/image4.png"/><Relationship Id="rId103" Type="http://schemas.openxmlformats.org/officeDocument/2006/relationships/hyperlink" Target="https://www.lumentum.com/en/optical-communications/products/source-lasers-ics-and-photodiodes/emls" TargetMode="External"/><Relationship Id="rId104" Type="http://schemas.openxmlformats.org/officeDocument/2006/relationships/hyperlink" Target="https://www.coherent.com/networking/optoelectronic-devices/inp-optoelectronics" TargetMode="External"/><Relationship Id="rId105" Type="http://schemas.openxmlformats.org/officeDocument/2006/relationships/hyperlink" Target="https://www.lumentum.com/en/products/data-center/cw-lasers/uhp-lasers-cpo" TargetMode="External"/><Relationship Id="rId106" Type="http://schemas.openxmlformats.org/officeDocument/2006/relationships/hyperlink" Target="https://gf.com/technologies/silicon-photonics/" TargetMode="External"/><Relationship Id="rId107" Type="http://schemas.openxmlformats.org/officeDocument/2006/relationships/hyperlink" Target="https://credosemi.com/wp-content/uploads/Credo-HiWire-345Tb-DDC-Solution-Brief.pdf" TargetMode="External"/><Relationship Id="rId108" Type="http://schemas.openxmlformats.org/officeDocument/2006/relationships/hyperlink" Target="https://www.broadcom.com/company/news/product-releases/61946" TargetMode="External"/><Relationship Id="rId109" Type="http://schemas.openxmlformats.org/officeDocument/2006/relationships/hyperlink" Target="https://nvidianews.nvidia.com/news/nvidia-spectrum-x-co-packaged-optics-networking-switches-ai-factories" TargetMode="External"/><Relationship Id="rId110" Type="http://schemas.openxmlformats.org/officeDocument/2006/relationships/hyperlink" Target="https://ayarlabs.com/resource/in-package-optical-i-o-unleashing-innovation" TargetMode="External"/><Relationship Id="rId111" Type="http://schemas.openxmlformats.org/officeDocument/2006/relationships/hyperlink" Target="https://www.coherent.com/news/blog/enabling-ai-next-gen-datacenters" TargetMode="External"/><Relationship Id="rId112" Type="http://schemas.openxmlformats.org/officeDocument/2006/relationships/hyperlink" Target="https://www.coherent.com/news/press-releases/significant-advancement-in-vcsel-performance-next-gen-ai-networks" TargetMode="External"/><Relationship Id="rId113" Type="http://schemas.openxmlformats.org/officeDocument/2006/relationships/hyperlink" Target="https://www.thorlabs.com/catalogPages/676.pdf" TargetMode="External"/><Relationship Id="rId114" Type="http://schemas.openxmlformats.org/officeDocument/2006/relationships/hyperlink" Target="https://towersemi.com/technology/rf-and-hpa/silicon-photonics-rf/" TargetMode="External"/><Relationship Id="rId115" Type="http://schemas.openxmlformats.org/officeDocument/2006/relationships/hyperlink" Target="https://www.soitec.com/home/products" TargetMode="External"/><Relationship Id="rId116" Type="http://schemas.openxmlformats.org/officeDocument/2006/relationships/hyperlink" Target="https://www.imec-int.com/en/what-we-offer/development/silicon-nitride" TargetMode="External"/><Relationship Id="rId117" Type="http://schemas.openxmlformats.org/officeDocument/2006/relationships/hyperlink" Target="https://www.imec-int.com/en/articles/double-world-first-integrating-lithium-niobate-and-lithium-tantalate-modulators-silicon" TargetMode="External"/><Relationship Id="rId118" Type="http://schemas.openxmlformats.org/officeDocument/2006/relationships/hyperlink" Target="https://www.coherent.com/content/dam/coherent/site/en/resources/datasheet/optics/magneto-optic-lpe-garnet-faraday-rotator-crystals-ds.pdf" TargetMode="External"/><Relationship Id="rId119" Type="http://schemas.openxmlformats.org/officeDocument/2006/relationships/hyperlink" Target="https://www.aixtron.com/en/innovation/technologies/mocvd" TargetMode="External"/><Relationship Id="rId120" Type="http://schemas.openxmlformats.org/officeDocument/2006/relationships/hyperlink" Target="https://www.keysight.com/zz/en/product/NX5402A/silicon-photonics-wafer-test-system.html" TargetMode="External"/><Relationship Id="rId121" Type="http://schemas.openxmlformats.org/officeDocument/2006/relationships/hyperlink" Target="https://www.ficontec.com/" TargetMode="External"/><Relationship Id="rId122" Type="http://schemas.openxmlformats.org/officeDocument/2006/relationships/hyperlink" Target="https://www.pi-usa.us/en/products/photonics-alignment-solutions/f-141-multi-axis-fiber-optics-photonics-alignment-system" TargetMode="External"/><Relationship Id="rId123" Type="http://schemas.openxmlformats.org/officeDocument/2006/relationships/hyperlink" Target="https://www.lumentum.com/en/products/dci-metro-long-haul-submarine/roadms-wavelength-management" TargetMode="External"/><Relationship Id="rId124" Type="http://schemas.openxmlformats.org/officeDocument/2006/relationships/hyperlink" Target="https://www.h3c.com/en/Support/Resource_Center/EN/Home/3D/Switches/?id=910500" TargetMode="External"/><Relationship Id="rId125" Type="http://schemas.openxmlformats.org/officeDocument/2006/relationships/hyperlink" Target="https://www.accton.com/800g-ai-ml-fabrics/" TargetMode="External"/><Relationship Id="rId126" Type="http://schemas.openxmlformats.org/officeDocument/2006/relationships/hyperlink" Target="https://newsroom.cisco.com/c/r/newsroom/en/us/a/y2026/m10/cisco-advances-scalability-and-openness-at-ocp-2026.html" TargetMode="External"/><Relationship Id="rId127" Type="http://schemas.openxmlformats.org/officeDocument/2006/relationships/hyperlink" Target="https://annualmeeting.hpe.com/2026/10k/PDF/hpe_10k2025_0007.pdf" TargetMode="External"/><Relationship Id="rId128" Type="http://schemas.openxmlformats.org/officeDocument/2006/relationships/hyperlink" Target="https://e.huawei.com/marketingcloud/pep/asset/20000001/Material/1b82933decf44a0892f5787df6f7e1ea/M3T1A669N1238906552640544970/D2F1_06_Arthur%20Wang.pdf" TargetMode="External"/><Relationship Id="rId129" Type="http://schemas.openxmlformats.org/officeDocument/2006/relationships/hyperlink" Target="https://static.cninfo.com.cn/finalpage/2026-04-23/1225146533.PDF" TargetMode="External"/><Relationship Id="rId130" Type="http://schemas.openxmlformats.org/officeDocument/2006/relationships/hyperlink" Target="https://www.yusur.tech/dpu/K2-Pro" TargetMode="External"/><Relationship Id="rId131" Type="http://schemas.openxmlformats.org/officeDocument/2006/relationships/hyperlink" Target="https://www.jaguarmicro.com/n4.html" TargetMode="External"/><Relationship Id="rId132" Type="http://schemas.openxmlformats.org/officeDocument/2006/relationships/hyperlink" Target="https://www.jaguarmicro.com/" TargetMode="External"/><Relationship Id="rId133" Type="http://schemas.openxmlformats.org/officeDocument/2006/relationships/hyperlink" Target="https://www.sifotonics.com/" TargetMode="External"/><Relationship Id="rId134" Type="http://schemas.openxmlformats.org/officeDocument/2006/relationships/hyperlink" Target="https://www.yj-semitech.com/html/datacom/index.html" TargetMode="External"/><Relationship Id="rId135" Type="http://schemas.openxmlformats.org/officeDocument/2006/relationships/hyperlink" Target="https://www.tfcsz.com/product_service.html" TargetMode="External"/><Relationship Id="rId136" Type="http://schemas.openxmlformats.org/officeDocument/2006/relationships/hyperlink" Target="https://www.optowide.com/cate-26550-33481.html" TargetMode="External"/><Relationship Id="rId137" Type="http://schemas.openxmlformats.org/officeDocument/2006/relationships/hyperlink" Target="https://sjphotons.com/product/cwdmlan4-awg-chipsubassemblies/" TargetMode="External"/><Relationship Id="rId138" Type="http://schemas.openxmlformats.org/officeDocument/2006/relationships/hyperlink" Target="https://sjphotons.com/planar-lightwave-circuit-awg-platform/" TargetMode="External"/><Relationship Id="rId139" Type="http://schemas.openxmlformats.org/officeDocument/2006/relationships/hyperlink" Target="https://www.accelink.com/upload/1/cms/20260427/1777270551534.pdf" TargetMode="External"/><Relationship Id="rId140" Type="http://schemas.openxmlformats.org/officeDocument/2006/relationships/hyperlink" Target="https://www.silith.com/news/silith-showcases-400g-lane-silicon-photonics-platform-at-ofc-2026" TargetMode="External"/><Relationship Id="rId141" Type="http://schemas.openxmlformats.org/officeDocument/2006/relationships/hyperlink" Target="https://ayarlabs.com/products/" TargetMode="External"/><Relationship Id="rId142" Type="http://schemas.openxmlformats.org/officeDocument/2006/relationships/hyperlink" Target="https://www.intel.com/content/www/us/en/newsroom/news/intel-unveils-first-integrated-optical-io-chiplet.html" TargetMode="External"/><Relationship Id="rId143" Type="http://schemas.openxmlformats.org/officeDocument/2006/relationships/hyperlink" Target="https://en.yofc.com/list/60.html" TargetMode="External"/><Relationship Id="rId144" Type="http://schemas.openxmlformats.org/officeDocument/2006/relationships/hyperlink" Target="https://en.yofc.com/view/2205.html" TargetMode="External"/><Relationship Id="rId145" Type="http://schemas.openxmlformats.org/officeDocument/2006/relationships/hyperlink" Target="https://www.hengtonggroup.com/cycx/jjfa.html" TargetMode="External"/><Relationship Id="rId146" Type="http://schemas.openxmlformats.org/officeDocument/2006/relationships/hyperlink" Target="https://www.formfactor.com/applications/measureone/silicon-photonics-test/" TargetMode="External"/><Relationship Id="rId147" Type="http://schemas.openxmlformats.org/officeDocument/2006/relationships/hyperlink" Target="https://www.lumentum.com/en/products/300x300-optical-circuit-switch-ocs" TargetMode="External"/><Relationship Id="rId148" Type="http://schemas.openxmlformats.org/officeDocument/2006/relationships/hyperlink" Target="https://static.cninfo.com.cn/finalpage/2026-08-29/1225527905.PDF" TargetMode="External"/><Relationship Id="rId149" Type="http://schemas.openxmlformats.org/officeDocument/2006/relationships/hyperlink" Target="https://disc.static.szse.cn/download/disc/disk03/finalpage/2026-08-19/788b066c-b687-4f11-8ae4-c6197f019370.PDF" TargetMode="External"/><Relationship Id="rId150" Type="http://schemas.openxmlformats.org/officeDocument/2006/relationships/hyperlink" Target="https://investor.lumentum.com/financial-news-releases/news-details/2025/Lumentum-Showcases-Next-Generation-InP-Chip-Solutions-Enabling-Scalable-AI-Data-Centers-at-OFC-2025/default.aspx" TargetMode="External"/><Relationship Id="rId151" Type="http://schemas.openxmlformats.org/officeDocument/2006/relationships/hyperlink" Target="https://www.reddit.com/r/Semiconductors/comments/1tsn7aj/why_does_silicon_photonic_become_more_dominant_in/" TargetMode="External"/><Relationship Id="rId152" Type="http://schemas.openxmlformats.org/officeDocument/2006/relationships/hyperlink" Target="https://computeexpresslink.org/wp-content/uploads/2023/12/CXL_3.0_white-paper_FINAL.pdf" TargetMode="External"/><Relationship Id="rId153" Type="http://schemas.openxmlformats.org/officeDocument/2006/relationships/hyperlink" Target="https://docs.nvidia.com/gpudirect-storage/design-guide/index.html" TargetMode="External"/><Relationship Id="rId154" Type="http://schemas.openxmlformats.org/officeDocument/2006/relationships/hyperlink" Target="https://developer.nvidia.com/blog/introducing-nvidia-bluefield-4-powered-inference-context-memory-storage-platform-for-the-next-frontier-of-ai" TargetMode="External"/><Relationship Id="rId155" Type="http://schemas.openxmlformats.org/officeDocument/2006/relationships/hyperlink" Target="https://www.synopsys.com/blogs/chip-design/ai-soc-memory-architecture.html" TargetMode="External"/><Relationship Id="rId156" Type="http://schemas.openxmlformats.org/officeDocument/2006/relationships/hyperlink" Target="https://news.samsungsemiconductor.com/global/samsung-ships-industry-first-commercial-hbm4-with-ultimate-performance-for-ai-computing/" TargetMode="External"/><Relationship Id="rId157" Type="http://schemas.openxmlformats.org/officeDocument/2006/relationships/hyperlink" Target="https://investors.micron.com/news-releases/news-release-details/micron-high-volume-production-hbm4-designed-nvidia-vera-rubin" TargetMode="External"/><Relationship Id="rId158" Type="http://schemas.openxmlformats.org/officeDocument/2006/relationships/hyperlink" Target="https://www.rambus.com/memory-interface-chips/ddr5-dimm-chipset/" TargetMode="External"/><Relationship Id="rId159" Type="http://schemas.openxmlformats.org/officeDocument/2006/relationships/hyperlink" Target="https://www.seagate.com/stories/articles/seagate-delivers-industrys-highest-capacity-hard-drives-with-next-generation-mozaic-4/" TargetMode="External"/><Relationship Id="rId160" Type="http://schemas.openxmlformats.org/officeDocument/2006/relationships/hyperlink" Target="https://www.westerndigital.com/fr-ca/company/newsroom/press-releases/2026/2026-02-03-western-digital-accelerates-storage-innovation-for-ai-era" TargetMode="External"/><Relationship Id="rId161" Type="http://schemas.openxmlformats.org/officeDocument/2006/relationships/hyperlink" Target="https://www.ibm.com/products/lto-tape-drive" TargetMode="External"/><Relationship Id="rId162" Type="http://schemas.openxmlformats.org/officeDocument/2006/relationships/hyperlink" Target="https://www.appliedmaterials.com/us/en/semiconductor/markets-and-inflections/memory/dram.html" TargetMode="External"/><Relationship Id="rId163" Type="http://schemas.openxmlformats.org/officeDocument/2006/relationships/hyperlink" Target="https://www.seagate.com/content/dam/seagate/assets/resources/enterprise/white-paper/mozaic-long-form-pdf-whitepaper-en-gb.pdf" TargetMode="External"/><Relationship Id="rId164" Type="http://schemas.openxmlformats.org/officeDocument/2006/relationships/hyperlink" Target="https://www.synopsys.com/dw/doc.php/ds/o/product_overview.pdf" TargetMode="External"/><Relationship Id="rId165" Type="http://schemas.openxmlformats.org/officeDocument/2006/relationships/hyperlink" Target="https://doi.org/10.1016/j.ceramint.2025.04.329" TargetMode="External"/><Relationship Id="rId166" Type="http://schemas.openxmlformats.org/officeDocument/2006/relationships/hyperlink" Target="https://web.montage-tech.com/sites/default/files/2025-02/MB%20Products%20Selection%20Guide.pdf" TargetMode="External"/><Relationship Id="rId167" Type="http://schemas.openxmlformats.org/officeDocument/2006/relationships/hyperlink" Target="https://www.renesas.com/en/products/memory-logic/memory-interface-products/ddr5-solutions/product-selector" TargetMode="External"/><Relationship Id="rId168" Type="http://schemas.openxmlformats.org/officeDocument/2006/relationships/hyperlink" Target="https://news.skhynix.com/en/sk-hynix-ships-samples-of-12-layer-next-gen-hbm4e-2/" TargetMode="External"/><Relationship Id="rId169" Type="http://schemas.openxmlformats.org/officeDocument/2006/relationships/hyperlink" Target="https://www.cxmt.com/en/product.html" TargetMode="External"/><Relationship Id="rId170" Type="http://schemas.openxmlformats.org/officeDocument/2006/relationships/hyperlink" Target="https://www.nanya.com/Content/InvestorCalendar/5680_20260119_4Q25_Investor%20Conference_EG.pdf" TargetMode="External"/><Relationship Id="rId171" Type="http://schemas.openxmlformats.org/officeDocument/2006/relationships/hyperlink" Target="https://www.winbond.com/hq/product/customized-memory-solution/ddr-sdr/?__locale=en" TargetMode="External"/><Relationship Id="rId172" Type="http://schemas.openxmlformats.org/officeDocument/2006/relationships/hyperlink" Target="https://www.appliedmaterials.com/us/en/newsroom/blogs/hbm--materials-innovation-propels-high-bandwidth-memory-into-the.html" TargetMode="External"/><Relationship Id="rId173" Type="http://schemas.openxmlformats.org/officeDocument/2006/relationships/hyperlink" Target="https://americas.kioxia.com/en-us/business/ssd/solution/edsff.html" TargetMode="External"/><Relationship Id="rId174" Type="http://schemas.openxmlformats.org/officeDocument/2006/relationships/hyperlink" Target="https://www.solidigm.com/products/technology/platform-optimization-for-performance-and-endurance-qlc-csal.html" TargetMode="External"/><Relationship Id="rId175" Type="http://schemas.openxmlformats.org/officeDocument/2006/relationships/hyperlink" Target="https://www.kingston.com/en/blog/servers-and-data-centers/understanding-ssd-endurance-tbw-dwpd" TargetMode="External"/><Relationship Id="rId176" Type="http://schemas.openxmlformats.org/officeDocument/2006/relationships/hyperlink" Target="https://scaleflux.com/faqs/" TargetMode="External"/><Relationship Id="rId177" Type="http://schemas.openxmlformats.org/officeDocument/2006/relationships/hyperlink" Target="https://scaleflux.com/in-the-media/scaleflux-reveals-the-revolutionary-csd5000-for-the-ai-era/" TargetMode="External"/><Relationship Id="rId178" Type="http://schemas.openxmlformats.org/officeDocument/2006/relationships/hyperlink" Target="https://news.skhynix.com/en/hbf-at-fms-2026/" TargetMode="External"/><Relationship Id="rId179" Type="http://schemas.openxmlformats.org/officeDocument/2006/relationships/hyperlink" Target="https://www.sandisk.com/company/newsroom/press-releases/2025/2025-08-06-sandisk-to-collaborate-with-sk-hynix-to-drive-standardization-of-high-bandwidth-flash-memory-technology" TargetMode="External"/><Relationship Id="rId180" Type="http://schemas.openxmlformats.org/officeDocument/2006/relationships/hyperlink" Target="https://apac.kioxia.com/en-apac/business/news/2026/20260317-1.html" TargetMode="External"/><Relationship Id="rId181" Type="http://schemas.openxmlformats.org/officeDocument/2006/relationships/hyperlink" Target="https://www.toshiba-storage.com/wp/wp-content/uploads/2025/12/TSH186_A_HDD_technology_web.pdf" TargetMode="External"/><Relationship Id="rId182" Type="http://schemas.openxmlformats.org/officeDocument/2006/relationships/hyperlink" Target="https://www.ibm.com/docs/en/ts4500-tape-library/1.12.2?topic=cartridges-capacity-supported-lto-tape" TargetMode="External"/><Relationship Id="rId183" Type="http://schemas.openxmlformats.org/officeDocument/2006/relationships/hyperlink" Target="https://www.micron.com/products/storage/nand-flash/g9-nand" TargetMode="External"/><Relationship Id="rId184" Type="http://schemas.openxmlformats.org/officeDocument/2006/relationships/hyperlink" Target="https://www.kioxia.com/en-jp/rd/technology/topics/topics-92.html" TargetMode="External"/><Relationship Id="rId185" Type="http://schemas.openxmlformats.org/officeDocument/2006/relationships/hyperlink" Target="https://news.samsung.com/global/samsung-unveils-next-gen-3d-memory-vision-at-fms-2026-charting-the-future-of-ai-infrastructure" TargetMode="External"/><Relationship Id="rId186" Type="http://schemas.openxmlformats.org/officeDocument/2006/relationships/hyperlink" Target="https://www.maxio-tech.com/product/11628/11631/11753/11733/" TargetMode="External"/><Relationship Id="rId187" Type="http://schemas.openxmlformats.org/officeDocument/2006/relationships/hyperlink" Target="https://www.innogritcorp.com/ssdcontrollers/enterprise/" TargetMode="External"/><Relationship Id="rId188" Type="http://schemas.openxmlformats.org/officeDocument/2006/relationships/hyperlink" Target="https://www.phison.com/phocadownload/Annual_Reports/Phison_Electronic_Corporation_2025_Annual_Report.pdf" TargetMode="External"/><Relationship Id="rId189" Type="http://schemas.openxmlformats.org/officeDocument/2006/relationships/hyperlink" Target="https://www.memblaze.com/about-company/about-us" TargetMode="External"/><Relationship Id="rId190" Type="http://schemas.openxmlformats.org/officeDocument/2006/relationships/hyperlink" Target="https://www.everspin.com/stt-mram-technology" TargetMode="External"/><Relationship Id="rId191" Type="http://schemas.openxmlformats.org/officeDocument/2006/relationships/hyperlink" Target="https://www.sec.gov/Archives/edgar/data/106040/000010604025000012/wdc8-khardxspin.htm" TargetMode="External"/><Relationship Id="rId192" Type="http://schemas.openxmlformats.org/officeDocument/2006/relationships/hyperlink" Target="https://investor.wdc.com/news-releases/news-release-details/western-digital-completes-planned-company-separation" TargetMode="External"/><Relationship Id="rId193" Type="http://schemas.openxmlformats.org/officeDocument/2006/relationships/hyperlink" Target="https://sk.com/en/about/about.jsp" TargetMode="External"/><Relationship Id="rId194" Type="http://schemas.openxmlformats.org/officeDocument/2006/relationships/hyperlink" Target="https://www.micron.com/content/dam/micron/educatorhub/intro-to-memory/micron-intro-to-memory-presentation.pdf" TargetMode="External"/><Relationship Id="rId195" Type="http://schemas.openxmlformats.org/officeDocument/2006/relationships/hyperlink" Target="https://www.micron.com/content/dam/micron/global/public/products/product-flyer/gddr7-product-brief.pdf" TargetMode="External"/><Relationship Id="rId196" Type="http://schemas.openxmlformats.org/officeDocument/2006/relationships/hyperlink" Target="https://newsletter.semianalysis.com/p/scaling-the-memory-wall-the-rise-and-roadmap-of-hbm" TargetMode="External"/><Relationship Id="rId197" Type="http://schemas.openxmlformats.org/officeDocument/2006/relationships/hyperlink" Target="https://seekingalpha.com/article/4924103-has-sandisk-escaped-its-punishing-cycle" TargetMode="External"/><Relationship Id="rId198" Type="http://schemas.openxmlformats.org/officeDocument/2006/relationships/hyperlink" Target="https://www.reddit.com/r/NewMaxx/comments/fb9tl8" TargetMode="External"/><Relationship Id="rId199" Type="http://schemas.openxmlformats.org/officeDocument/2006/relationships/hyperlink" Target="https://www.reddit.com/r/stocks/comments/1x24b13/does_mus_quarter_actually_help_sndk/" TargetMode="External"/><Relationship Id="rId200" Type="http://schemas.openxmlformats.org/officeDocument/2006/relationships/image" Target="media/image5.png"/><Relationship Id="rId201" Type="http://schemas.openxmlformats.org/officeDocument/2006/relationships/hyperlink" Target="https://news.synopsys.com/2024-02-21-Synopsys-and-Intel-Foundry-Accelerate-Advanced-Chip-Designs-with-Synopsys-IP-and-Certified-EDA-Flows-for-Intel-18A-Process" TargetMode="External"/><Relationship Id="rId202" Type="http://schemas.openxmlformats.org/officeDocument/2006/relationships/hyperlink" Target="https://www.tel.com/product/index.html" TargetMode="External"/><Relationship Id="rId203" Type="http://schemas.openxmlformats.org/officeDocument/2006/relationships/hyperlink" Target="https://www.appliedmaterials.com/us/en/semiconductor/products.html" TargetMode="External"/><Relationship Id="rId204" Type="http://schemas.openxmlformats.org/officeDocument/2006/relationships/hyperlink" Target="https://www.asm.com/our-technology-products/epitaxy" TargetMode="External"/><Relationship Id="rId205" Type="http://schemas.openxmlformats.org/officeDocument/2006/relationships/hyperlink" Target="https://www.siltronic.com/en/products/epitaxial-wafers.html" TargetMode="External"/><Relationship Id="rId206" Type="http://schemas.openxmlformats.org/officeDocument/2006/relationships/hyperlink" Target="https://en.piotech.cn/" TargetMode="External"/><Relationship Id="rId207" Type="http://schemas.openxmlformats.org/officeDocument/2006/relationships/hyperlink" Target="https://www.naura.com/product/" TargetMode="External"/><Relationship Id="rId208" Type="http://schemas.openxmlformats.org/officeDocument/2006/relationships/hyperlink" Target="https://www.asml.com/en/technology/lithography-principles/light-and-lasers" TargetMode="External"/><Relationship Id="rId209" Type="http://schemas.openxmlformats.org/officeDocument/2006/relationships/hyperlink" Target="https://www.tok.co.jp/eng/products/semiconductor-pre" TargetMode="External"/><Relationship Id="rId210" Type="http://schemas.openxmlformats.org/officeDocument/2006/relationships/hyperlink" Target="https://www.amec-inc.com/uploads/files/20250902/17568042727426.pdf" TargetMode="External"/><Relationship Id="rId211" Type="http://schemas.openxmlformats.org/officeDocument/2006/relationships/hyperlink" Target="https://ebara.com/global-en/precision/" TargetMode="External"/><Relationship Id="rId212" Type="http://schemas.openxmlformats.org/officeDocument/2006/relationships/hyperlink" Target="https://www.entegris.com/en/home/our-science/by-industry/microelectronics/semiconductor/cmp.html" TargetMode="External"/><Relationship Id="rId213" Type="http://schemas.openxmlformats.org/officeDocument/2006/relationships/hyperlink" Target="https://www.acmrcsh.com.cn/product.html?CatalogId=22" TargetMode="External"/><Relationship Id="rId214" Type="http://schemas.openxmlformats.org/officeDocument/2006/relationships/hyperlink" Target="https://ir.kla.com/sec-filings/all-sec-filings/content/0001193125-25-213412/0001193125-25-213412.pdf" TargetMode="External"/><Relationship Id="rId215" Type="http://schemas.openxmlformats.org/officeDocument/2006/relationships/hyperlink" Target="https://www.appliedmaterials.com/us/en/semiconductor/markets-and-inflections/advanced-logic/backside-power.html" TargetMode="External"/><Relationship Id="rId216" Type="http://schemas.openxmlformats.org/officeDocument/2006/relationships/hyperlink" Target="https://www.asml.com/en/technology/lithography-principles/lenses-and-mirrors" TargetMode="External"/><Relationship Id="rId217" Type="http://schemas.openxmlformats.org/officeDocument/2006/relationships/hyperlink" Target="https://www.shinetsu.co.jp/en/products/electronics-materials/photomask-blanks/" TargetMode="External"/><Relationship Id="rId218" Type="http://schemas.openxmlformats.org/officeDocument/2006/relationships/hyperlink" Target="https://multibeamcorp.com/applications/" TargetMode="External"/><Relationship Id="rId219" Type="http://schemas.openxmlformats.org/officeDocument/2006/relationships/hyperlink" Target="https://www.edwardsvacuum.com/en-in/semiconductor/our-products/integrated-solutions" TargetMode="External"/><Relationship Id="rId220" Type="http://schemas.openxmlformats.org/officeDocument/2006/relationships/hyperlink" Target="https://ebara.com/content/dam/ebara/grand-masters/entities/en/pdf/ir/library/business-briefing/20231204_IRDAY_Day1-2_e.pdf.coredownload.inline.pdf" TargetMode="External"/><Relationship Id="rId221" Type="http://schemas.openxmlformats.org/officeDocument/2006/relationships/hyperlink" Target="https://s1.mks.com/n/pulsed-radio-frequency-rf-solution-for-critical-processes" TargetMode="External"/><Relationship Id="rId222" Type="http://schemas.openxmlformats.org/officeDocument/2006/relationships/hyperlink" Target="https://www.vatgroup.com/" TargetMode="External"/><Relationship Id="rId223" Type="http://schemas.openxmlformats.org/officeDocument/2006/relationships/hyperlink" Target="https://www.nikon.com/business/semi/lineup/" TargetMode="External"/><Relationship Id="rId224" Type="http://schemas.openxmlformats.org/officeDocument/2006/relationships/hyperlink" Target="https://www.usa.canon.com/business/semiconductor" TargetMode="External"/><Relationship Id="rId225" Type="http://schemas.openxmlformats.org/officeDocument/2006/relationships/hyperlink" Target="https://www.nuflare.co.jp/english/products/beam/" TargetMode="External"/><Relationship Id="rId226" Type="http://schemas.openxmlformats.org/officeDocument/2006/relationships/hyperlink" Target="https://www.lasertec.co.jp/en/products/semiconductor/" TargetMode="External"/><Relationship Id="rId227" Type="http://schemas.openxmlformats.org/officeDocument/2006/relationships/hyperlink" Target="https://www.screen.co.jp/spe/products" TargetMode="External"/><Relationship Id="rId228" Type="http://schemas.openxmlformats.org/officeDocument/2006/relationships/hyperlink" Target="https://athqga01.disco.co.jp/eg/technology/index.html" TargetMode="External"/><Relationship Id="rId229" Type="http://schemas.openxmlformats.org/officeDocument/2006/relationships/hyperlink" Target="https://www.zeiss.com/semiconductor-manufacturing-technology/products.html" TargetMode="External"/><Relationship Id="rId230" Type="http://schemas.openxmlformats.org/officeDocument/2006/relationships/hyperlink" Target="https://www.trumpf.com/en_GB/solutions/applications/euv-lithography/" TargetMode="External"/><Relationship Id="rId231" Type="http://schemas.openxmlformats.org/officeDocument/2006/relationships/hyperlink" Target="https://www.shibaura.co.jp/e/products/semicon/" TargetMode="External"/><Relationship Id="rId232" Type="http://schemas.openxmlformats.org/officeDocument/2006/relationships/hyperlink" Target="https://static.cninfo.com.cn/finalpage/2026-08-22/1225491095.PDF" TargetMode="External"/><Relationship Id="rId233" Type="http://schemas.openxmlformats.org/officeDocument/2006/relationships/hyperlink" Target="https://www.skyverse.cn/" TargetMode="External"/><Relationship Id="rId234" Type="http://schemas.openxmlformats.org/officeDocument/2006/relationships/hyperlink" Target="https://www.hzcctech.com/index.aspx" TargetMode="External"/><Relationship Id="rId235" Type="http://schemas.openxmlformats.org/officeDocument/2006/relationships/hyperlink" Target="https://www.chromaate.com/en/newsroom/news1176" TargetMode="External"/><Relationship Id="rId236" Type="http://schemas.openxmlformats.org/officeDocument/2006/relationships/hyperlink" Target="https://expo.semi.org/taiwan2026/public/eBooth.aspx?BoothID=652381&amp;FromPage=Exhibitors.aspx&amp;IndexInList=219&amp;ListByBooth=true&amp;Nav=False&amp;ParentBoothID=" TargetMode="External"/><Relationship Id="rId237" Type="http://schemas.openxmlformats.org/officeDocument/2006/relationships/hyperlink" Target="https://www.reddit.com/r/Semiconductors/comments/1ah2dw0/" TargetMode="External"/><Relationship Id="rId238" Type="http://schemas.openxmlformats.org/officeDocument/2006/relationships/hyperlink" Target="https://www.ficontec.com/capabilities/" TargetMode="External"/><Relationship Id="rId239" Type="http://schemas.openxmlformats.org/officeDocument/2006/relationships/hyperlink" Target="https://www.evgroup.com/fileadmin/media/products/bonding/Die_to_Wafer_bonding_systems/White_Paper_D2W_Bonding.pdf" TargetMode="External"/><Relationship Id="rId240" Type="http://schemas.openxmlformats.org/officeDocument/2006/relationships/hyperlink" Target="https://www.shibaura.co.jp/e/products/semicon/spe-16.html" TargetMode="External"/><Relationship Id="rId241" Type="http://schemas.openxmlformats.org/officeDocument/2006/relationships/hyperlink" Target="https://www.ajinomoto.com/innovation/our_innovation/buildupfilm" TargetMode="External"/><Relationship Id="rId242" Type="http://schemas.openxmlformats.org/officeDocument/2006/relationships/hyperlink" Target="https://www.infineon.com/assets/row/public/documents/24/59/whitepaper-scaling-ai-data-center-power-delivery-with-si-sic-and-gan.pdf" TargetMode="External"/><Relationship Id="rId243" Type="http://schemas.openxmlformats.org/officeDocument/2006/relationships/hyperlink" Target="https://www.ferrotec.com/products-technologies/" TargetMode="External"/><Relationship Id="rId244" Type="http://schemas.openxmlformats.org/officeDocument/2006/relationships/hyperlink" Target="https://reports.wacker.com/2024/annual-report/combined-management-report/segments/wacker-polysilicon.html" TargetMode="External"/><Relationship Id="rId245" Type="http://schemas.openxmlformats.org/officeDocument/2006/relationships/hyperlink" Target="https://www.sumcosi.com/english/products/lineup.html" TargetMode="External"/><Relationship Id="rId246" Type="http://schemas.openxmlformats.org/officeDocument/2006/relationships/hyperlink" Target="https://www.soitec.com/home/products/product-platforms/photonics-soi" TargetMode="External"/><Relationship Id="rId247" Type="http://schemas.openxmlformats.org/officeDocument/2006/relationships/hyperlink" Target="https://www.appliedmaterials.com/us/en/semiconductor/markets-and-inflections/advanced-logic/interconnect.html" TargetMode="External"/><Relationship Id="rId248" Type="http://schemas.openxmlformats.org/officeDocument/2006/relationships/hyperlink" Target="https://www.jx-nmm.com/english/products/semiconductor_sensor/" TargetMode="External"/><Relationship Id="rId249" Type="http://schemas.openxmlformats.org/officeDocument/2006/relationships/hyperlink" Target="https://electronics.airliquide.com/offer-brands/our-offer/electronics-advanced-materials" TargetMode="External"/><Relationship Id="rId250" Type="http://schemas.openxmlformats.org/officeDocument/2006/relationships/hyperlink" Target="https://www.sk-materials.com/new/eng/html/products/Business02.asp" TargetMode="External"/><Relationship Id="rId251" Type="http://schemas.openxmlformats.org/officeDocument/2006/relationships/hyperlink" Target="https://www.anjimicro.com/jiejuefangan.html" TargetMode="External"/><Relationship Id="rId252" Type="http://schemas.openxmlformats.org/officeDocument/2006/relationships/hyperlink" Target="https://www.mgc.co.jp/eng/ir/files/2410022e.pdf" TargetMode="External"/><Relationship Id="rId253" Type="http://schemas.openxmlformats.org/officeDocument/2006/relationships/hyperlink" Target="https://www.evgroup.com/products/bonding/" TargetMode="External"/><Relationship Id="rId254" Type="http://schemas.openxmlformats.org/officeDocument/2006/relationships/hyperlink" Target="https://www.henkel.com/our-businesses/adhesive-technologies/about-us/high-tech-underfill-solutions-2022294" TargetMode="External"/><Relationship Id="rId255" Type="http://schemas.openxmlformats.org/officeDocument/2006/relationships/hyperlink" Target="https://www.sumibe.co.jp/english/question/product/it-materials/index.html" TargetMode="External"/><Relationship Id="rId256" Type="http://schemas.openxmlformats.org/officeDocument/2006/relationships/hyperlink" Target="https://www.intel.com/content/www/us/en/newsroom/news/intel-unveils-industry-leading-glass-substrates.html" TargetMode="External"/><Relationship Id="rId257" Type="http://schemas.openxmlformats.org/officeDocument/2006/relationships/hyperlink" Target="https://www.e6.com/products/semiconductors" TargetMode="External"/><Relationship Id="rId258" Type="http://schemas.openxmlformats.org/officeDocument/2006/relationships/hyperlink" Target="https://www.coherent.com/news/press-releases/customer-sampling-of-300mm-high-thermal-conductivity-sic-substrates-for-ai-infrastructure" TargetMode="External"/><Relationship Id="rId259" Type="http://schemas.openxmlformats.org/officeDocument/2006/relationships/hyperlink" Target="https://www.axt.com/products" TargetMode="External"/><Relationship Id="rId260" Type="http://schemas.openxmlformats.org/officeDocument/2006/relationships/hyperlink" Target="https://www.axt.com/" TargetMode="External"/><Relationship Id="rId261" Type="http://schemas.openxmlformats.org/officeDocument/2006/relationships/hyperlink" Target="https://www.sas-globalwafers.com/en/products/" TargetMode="External"/><Relationship Id="rId262" Type="http://schemas.openxmlformats.org/officeDocument/2006/relationships/hyperlink" Target="https://www.hscpoly.com/markets-technologies/" TargetMode="External"/><Relationship Id="rId263" Type="http://schemas.openxmlformats.org/officeDocument/2006/relationships/hyperlink" Target="https://nsig.com/en" TargetMode="External"/><Relationship Id="rId264" Type="http://schemas.openxmlformats.org/officeDocument/2006/relationships/hyperlink" Target="https://www.huategas.com/companynews/info.aspx?itemid=2628" TargetMode="External"/><Relationship Id="rId265" Type="http://schemas.openxmlformats.org/officeDocument/2006/relationships/hyperlink" Target="https://3dfabric.tsmc.com/english/dedicatedFoundry/technology/SoIC.htm" TargetMode="External"/><Relationship Id="rId266" Type="http://schemas.openxmlformats.org/officeDocument/2006/relationships/hyperlink" Target="https://3dfabric.tsmc.com/english/dedicatedFoundry/technology/cowos.htm" TargetMode="External"/><Relationship Id="rId267" Type="http://schemas.openxmlformats.org/officeDocument/2006/relationships/hyperlink" Target="https://investor.tsmc.com/sites/ir/annual-report/2025/2025%20Annual%20Report.C.pdf" TargetMode="External"/><Relationship Id="rId268" Type="http://schemas.openxmlformats.org/officeDocument/2006/relationships/hyperlink" Target="https://www.intel.com/content/www/us/en/foundry/packaging.html" TargetMode="External"/><Relationship Id="rId269" Type="http://schemas.openxmlformats.org/officeDocument/2006/relationships/hyperlink" Target="https://ase.aseglobal.com/VIPack/" TargetMode="External"/><Relationship Id="rId270" Type="http://schemas.openxmlformats.org/officeDocument/2006/relationships/hyperlink" Target="https://www.jcetglobal.com/en/site/detailscon/860" TargetMode="External"/><Relationship Id="rId271" Type="http://schemas.openxmlformats.org/officeDocument/2006/relationships/hyperlink" Target="https://amkor.com/technology/25d-3d-tsv/" TargetMode="External"/><Relationship Id="rId272" Type="http://schemas.openxmlformats.org/officeDocument/2006/relationships/hyperlink" Target="https://www.besi.com/scientific-publications/" TargetMode="External"/><Relationship Id="rId273" Type="http://schemas.openxmlformats.org/officeDocument/2006/relationships/hyperlink" Target="https://www.formfactor.com/product/probe-cards/dram/hftap-series/" TargetMode="External"/><Relationship Id="rId274" Type="http://schemas.openxmlformats.org/officeDocument/2006/relationships/hyperlink" Target="https://www.shibaura.co.jp/e/products/semicon/solution.html" TargetMode="External"/><Relationship Id="rId275" Type="http://schemas.openxmlformats.org/officeDocument/2006/relationships/hyperlink" Target="https://www.jcetglobal.com/uploads/2025-08-20/50092556385059a0.pdf" TargetMode="External"/><Relationship Id="rId276" Type="http://schemas.openxmlformats.org/officeDocument/2006/relationships/hyperlink" Target="https://en.semight.com/about.html" TargetMode="External"/><Relationship Id="rId277" Type="http://schemas.openxmlformats.org/officeDocument/2006/relationships/hyperlink" Target="https://www.advantest.com/en/products/semiconductor-test-system/soc/v93000/" TargetMode="External"/><Relationship Id="rId278" Type="http://schemas.openxmlformats.org/officeDocument/2006/relationships/hyperlink" Target="https://www.teradyne.com/products/ultraflexplus/" TargetMode="External"/><Relationship Id="rId279" Type="http://schemas.openxmlformats.org/officeDocument/2006/relationships/hyperlink" Target="https://www.ficontec.com/ficontec-releases-innovative-wafer-level-test-cell-to-complement-existing-ate/" TargetMode="External"/><Relationship Id="rId280" Type="http://schemas.openxmlformats.org/officeDocument/2006/relationships/hyperlink" Target="https://www.ficontec.com/wp-content/uploads/pdf/en/WT-2501-v1-web.pdf" TargetMode="External"/><Relationship Id="rId281" Type="http://schemas.openxmlformats.org/officeDocument/2006/relationships/hyperlink" Target="https://www.pi-usa.us/en/products/photonics-alignment-solutions" TargetMode="External"/><Relationship Id="rId282" Type="http://schemas.openxmlformats.org/officeDocument/2006/relationships/hyperlink" Target="https://static.cninfo.com.cn/finalpage/2025-05-08/1223496529.PDF" TargetMode="External"/><Relationship Id="rId283" Type="http://schemas.openxmlformats.org/officeDocument/2006/relationships/hyperlink" Target="https://static.cninfo.com.cn/finalpage/2026-08-26/1225507370.PDF" TargetMode="External"/><Relationship Id="rId284" Type="http://schemas.openxmlformats.org/officeDocument/2006/relationships/hyperlink" Target="https://escholarship.org/uc/item/5tz795vq" TargetMode="External"/><Relationship Id="rId285" Type="http://schemas.openxmlformats.org/officeDocument/2006/relationships/hyperlink" Target="https://aws.amazon.com/ec2/instance-types/trn3/" TargetMode="External"/><Relationship Id="rId286" Type="http://schemas.openxmlformats.org/officeDocument/2006/relationships/hyperlink" Target="https://www.altera.com/fpga" TargetMode="External"/><Relationship Id="rId287" Type="http://schemas.openxmlformats.org/officeDocument/2006/relationships/hyperlink" Target="https://eda.sw.siemens.com/en-US/ic/calibre-design/reliability-verification/perc" TargetMode="External"/><Relationship Id="rId288" Type="http://schemas.openxmlformats.org/officeDocument/2006/relationships/hyperlink" Target="https://www.cerebras.ai/press-release/cerebras-announces-third-generation-wafer-scale-engine" TargetMode="External"/><Relationship Id="rId289" Type="http://schemas.openxmlformats.org/officeDocument/2006/relationships/hyperlink" Target="https://resources.nvidia.com/en-us-dgx-systems/dgx-vera-rubin-nvl72-datasheet?xs=514415" TargetMode="External"/><Relationship Id="rId290" Type="http://schemas.openxmlformats.org/officeDocument/2006/relationships/hyperlink" Target="https://www.synopsys.com/ai/ai-powered-eda/dso-ai.html" TargetMode="External"/><Relationship Id="rId291" Type="http://schemas.openxmlformats.org/officeDocument/2006/relationships/hyperlink" Target="https://www.cadence.com/en_US/home/tools/digital-design-and-signoff/soc-implementation-and-floorplanning/cerebrus-intelligent-chip-explorer.html" TargetMode="External"/><Relationship Id="rId292" Type="http://schemas.openxmlformats.org/officeDocument/2006/relationships/hyperlink" Target="https://arxiv.org/abs/2405.07518" TargetMode="External"/><Relationship Id="rId293" Type="http://schemas.openxmlformats.org/officeDocument/2006/relationships/hyperlink" Target="https://www.d-matrix.ai/announcements/d-matrix-corsair-ai-inference-platform-enters-full-production-to-meet-customer-demand/" TargetMode="External"/><Relationship Id="rId294" Type="http://schemas.openxmlformats.org/officeDocument/2006/relationships/hyperlink" Target="https://www.etched.com/" TargetMode="External"/><Relationship Id="rId295" Type="http://schemas.openxmlformats.org/officeDocument/2006/relationships/hyperlink" Target="https://rebellions.ai/" TargetMode="External"/><Relationship Id="rId296" Type="http://schemas.openxmlformats.org/officeDocument/2006/relationships/hyperlink" Target="https://sima.ai/mlsoc-family/" TargetMode="External"/><Relationship Id="rId297" Type="http://schemas.openxmlformats.org/officeDocument/2006/relationships/hyperlink" Target="https://www.normalcomputing.com/solutions/asics" TargetMode="External"/><Relationship Id="rId298" Type="http://schemas.openxmlformats.org/officeDocument/2006/relationships/hyperlink" Target="https://unconv.ai/" TargetMode="External"/><Relationship Id="rId299" Type="http://schemas.openxmlformats.org/officeDocument/2006/relationships/hyperlink" Target="https://www.ricursive.com/" TargetMode="External"/><Relationship Id="rId300" Type="http://schemas.openxmlformats.org/officeDocument/2006/relationships/hyperlink" Target="https://www.cognichip.ai/about" TargetMode="External"/><Relationship Id="rId301" Type="http://schemas.openxmlformats.org/officeDocument/2006/relationships/hyperlink" Target="https://www.intel.com/content/www/us/en/ark/products/series/240357/intel-xeon-6-processors.html" TargetMode="External"/><Relationship Id="rId302" Type="http://schemas.openxmlformats.org/officeDocument/2006/relationships/hyperlink" Target="https://www.hygon.cn/product/cpu" TargetMode="External"/><Relationship Id="rId303" Type="http://schemas.openxmlformats.org/officeDocument/2006/relationships/hyperlink" Target="https://www.hisilicon.com/cn/products/kunpeng/huawei-kunpeng/huawei-kunpeng-920" TargetMode="External"/><Relationship Id="rId304" Type="http://schemas.openxmlformats.org/officeDocument/2006/relationships/hyperlink" Target="https://www.hiascend.com/document/detail/zh/AscendFAQ/ProduTech/productform/hardwaredesc_0001.html" TargetMode="External"/><Relationship Id="rId305" Type="http://schemas.openxmlformats.org/officeDocument/2006/relationships/hyperlink" Target="https://www.cambricon.com/" TargetMode="External"/><Relationship Id="rId306" Type="http://schemas.openxmlformats.org/officeDocument/2006/relationships/hyperlink" Target="https://docs.mthreads.com/driver-linux-server/driver-linux-server-doc-online/MTT_S5000/introduction/" TargetMode="External"/><Relationship Id="rId307" Type="http://schemas.openxmlformats.org/officeDocument/2006/relationships/hyperlink" Target="https://www.kunlunxin.com/" TargetMode="External"/><Relationship Id="rId308" Type="http://schemas.openxmlformats.org/officeDocument/2006/relationships/hyperlink" Target="https://www.birentech.com/" TargetMode="External"/><Relationship Id="rId309" Type="http://schemas.openxmlformats.org/officeDocument/2006/relationships/hyperlink" Target="https://www.arm.com/products/cloud-datacenter/neoverse-compute-subsystems/css-n4" TargetMode="External"/><Relationship Id="rId310" Type="http://schemas.openxmlformats.org/officeDocument/2006/relationships/hyperlink" Target="https://www.empyrean-tech.com/products/eda/analog-design-solution/spice-simulator.html" TargetMode="External"/><Relationship Id="rId311" Type="http://schemas.openxmlformats.org/officeDocument/2006/relationships/hyperlink" Target="https://www.primarius-tech.com/uploads/20240704/A3_CN_NanoSpice_Pro_Jun.2024.pdf" TargetMode="External"/><Relationship Id="rId312" Type="http://schemas.openxmlformats.org/officeDocument/2006/relationships/hyperlink" Target="https://en.semitronix.com.cn/product/eda/smtcell/" TargetMode="External"/><Relationship Id="rId313" Type="http://schemas.openxmlformats.org/officeDocument/2006/relationships/hyperlink" Target="https://caspaceosummit.com/agenda/" TargetMode="External"/><Relationship Id="rId314" Type="http://schemas.openxmlformats.org/officeDocument/2006/relationships/hyperlink" Target="https://www.fortinet.com/products/fortigate/fortiasic" TargetMode="External"/><Relationship Id="rId315" Type="http://schemas.openxmlformats.org/officeDocument/2006/relationships/hyperlink" Target="https://www.rambus.com/interface-ip/" TargetMode="External"/><Relationship Id="rId316" Type="http://schemas.openxmlformats.org/officeDocument/2006/relationships/hyperlink" Target="https://silvaco.com/" TargetMode="External"/><Relationship Id="rId317" Type="http://schemas.openxmlformats.org/officeDocument/2006/relationships/hyperlink" Target="https://caspaceosummit.com/sponsors/" TargetMode="External"/><Relationship Id="rId318" Type="http://schemas.openxmlformats.org/officeDocument/2006/relationships/image" Target="media/image6.png"/><Relationship Id="rId319" Type="http://schemas.openxmlformats.org/officeDocument/2006/relationships/hyperlink" Target="https://www.reddit.com/r/ValueInvesting/comments/1vkf7lk/comment/p2u0yuu/" TargetMode="External"/><Relationship Id="rId320" Type="http://schemas.openxmlformats.org/officeDocument/2006/relationships/hyperlink" Target="https://www.reddit.com/r/chipdesign/comments/1wxgyax/comment/pdvwllx/" TargetMode="External"/><Relationship Id="rId321" Type="http://schemas.openxmlformats.org/officeDocument/2006/relationships/hyperlink" Target="https://www.reddit.com/r/LocalLLaMA/comments/1dobzcs/meet_sohu_the_fastest_ai_chip_of_all_time/" TargetMode="External"/><Relationship Id="rId322" Type="http://schemas.openxmlformats.org/officeDocument/2006/relationships/hyperlink" Target="https://www.dwarkesh.com/p/dylan-jon" TargetMode="External"/><Relationship Id="rId323" Type="http://schemas.openxmlformats.org/officeDocument/2006/relationships/hyperlink" Target="https://www.branch.education/videos" TargetMode="External"/><Relationship Id="rId324" Type="http://schemas.openxmlformats.org/officeDocument/2006/relationships/hyperlink" Target="https://www.youtube.com/watch?v=YtBysgPOKx4" TargetMode="External"/><Relationship Id="rId325" Type="http://schemas.openxmlformats.org/officeDocument/2006/relationships/hyperlink" Target="https://www.youtube.com/watch?v=9i1ZM0dPyRo" TargetMode="External"/><Relationship Id="rId326" Type="http://schemas.openxmlformats.org/officeDocument/2006/relationships/hyperlink" Target="https://developer.nvidia.com/blog/nvidia-800-v-hvdc-architecture-will-power-the-next-Generation-of-ai-factories" TargetMode="External"/><Relationship Id="rId327" Type="http://schemas.openxmlformats.org/officeDocument/2006/relationships/image" Target="media/image7.png"/><Relationship Id="rId328" Type="http://schemas.openxmlformats.org/officeDocument/2006/relationships/image" Target="media/image8.png"/><Relationship Id="rId329" Type="http://schemas.openxmlformats.org/officeDocument/2006/relationships/image" Target="media/image9.png"/><Relationship Id="rId330" Type="http://schemas.openxmlformats.org/officeDocument/2006/relationships/image" Target="media/image10.png"/><Relationship Id="rId331" Type="http://schemas.openxmlformats.org/officeDocument/2006/relationships/image" Target="media/image11.png"/><Relationship Id="rId332" Type="http://schemas.openxmlformats.org/officeDocument/2006/relationships/image" Target="media/image12.png"/><Relationship Id="rId333" Type="http://schemas.openxmlformats.org/officeDocument/2006/relationships/image" Target="media/image13.png"/><Relationship Id="rId33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基础设施产业研究</dc:title>
  <dc:subject>CASPA CEO Summit 2026 参会产业研究</dc:subject>
  <dc:creator>Steven Guan</dc:creator>
  <cp:keywords/>
  <dc:description>AI 基础设施产业研究：技术、制造工艺、代表企业与来源。</dc:description>
  <cp:lastModifiedBy>Steven Guan</cp:lastModifiedBy>
  <cp:revision>1</cp:revision>
  <dcterms:created xsi:type="dcterms:W3CDTF">2026-10-15T00:00:00Z</dcterms:created>
  <dcterms:modified xsi:type="dcterms:W3CDTF">2026-10-15T00:00:00Z</dcterms:modified>
  <cp:category/>
</cp:coreProperties>
</file>